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1EB66" w14:textId="77777777" w:rsidR="00FD2D16" w:rsidRPr="00B57FAB" w:rsidRDefault="00FD2D16" w:rsidP="00FD2D16">
      <w:pPr>
        <w:rPr>
          <w:rFonts w:ascii="Arial" w:hAnsi="Arial" w:cs="Arial"/>
          <w:b/>
        </w:rPr>
      </w:pPr>
      <w:r w:rsidRPr="00B57FAB">
        <w:rPr>
          <w:rFonts w:ascii="Arial" w:hAnsi="Arial" w:cs="Arial"/>
          <w:b/>
        </w:rPr>
        <w:t>Instructions:</w:t>
      </w:r>
    </w:p>
    <w:p w14:paraId="28A06B91" w14:textId="1F54615C" w:rsidR="00FD2D16" w:rsidRDefault="00B57FAB" w:rsidP="00B57FAB">
      <w:pPr>
        <w:jc w:val="both"/>
        <w:rPr>
          <w:rFonts w:ascii="Calibri" w:hAnsi="Calibri" w:cs="Calibri"/>
          <w:color w:val="000000"/>
          <w:sz w:val="24"/>
          <w:szCs w:val="24"/>
        </w:rPr>
      </w:pPr>
      <w:r w:rsidRPr="00B57FAB">
        <w:rPr>
          <w:rFonts w:ascii="Arial" w:hAnsi="Arial" w:cs="Arial"/>
        </w:rPr>
        <w:t>This checklist is</w:t>
      </w:r>
      <w:r w:rsidR="004B4904">
        <w:rPr>
          <w:rFonts w:ascii="Arial" w:hAnsi="Arial" w:cs="Arial"/>
        </w:rPr>
        <w:t xml:space="preserve"> designed</w:t>
      </w:r>
      <w:r w:rsidRPr="00B57FAB">
        <w:rPr>
          <w:rFonts w:ascii="Arial" w:hAnsi="Arial" w:cs="Arial"/>
        </w:rPr>
        <w:t xml:space="preserve"> to be used </w:t>
      </w:r>
      <w:r w:rsidR="004B4904">
        <w:rPr>
          <w:rFonts w:ascii="Arial" w:hAnsi="Arial" w:cs="Arial"/>
        </w:rPr>
        <w:t xml:space="preserve">by staff working in the Office of Sponsored Research, the Research Partnership Managers, staff in Research Legal and any other staff engaged in the development of Research Contracts with funding providers or industry partners. </w:t>
      </w:r>
      <w:r w:rsidRPr="00B57FAB">
        <w:rPr>
          <w:rFonts w:ascii="Arial" w:hAnsi="Arial" w:cs="Arial"/>
        </w:rPr>
        <w:t xml:space="preserve"> </w:t>
      </w:r>
      <w:r w:rsidR="004B4904">
        <w:rPr>
          <w:rFonts w:ascii="Arial" w:hAnsi="Arial" w:cs="Arial"/>
        </w:rPr>
        <w:t xml:space="preserve">This checklist is an aid to be utilised when drafting or agreeing contract terms, to ensure that key financial elements or risks are considered and/or managed.   </w:t>
      </w:r>
      <w:r>
        <w:rPr>
          <w:rFonts w:ascii="Arial" w:hAnsi="Arial" w:cs="Arial"/>
        </w:rPr>
        <w:t xml:space="preserve">This checklist should be read and used in conjunction with the </w:t>
      </w:r>
      <w:hyperlink r:id="rId7" w:history="1">
        <w:r w:rsidR="00330006" w:rsidRPr="00330006">
          <w:rPr>
            <w:rStyle w:val="Hyperlink"/>
            <w:rFonts w:ascii="Arial" w:hAnsi="Arial" w:cs="Arial"/>
          </w:rPr>
          <w:t>Interim State Flowcharts</w:t>
        </w:r>
      </w:hyperlink>
      <w:r w:rsidR="00330006">
        <w:rPr>
          <w:rFonts w:ascii="Arial" w:hAnsi="Arial" w:cs="Arial"/>
        </w:rPr>
        <w:t xml:space="preserve"> </w:t>
      </w:r>
      <w:r>
        <w:rPr>
          <w:rFonts w:ascii="Arial" w:hAnsi="Arial" w:cs="Arial"/>
        </w:rPr>
        <w:t xml:space="preserve">related to </w:t>
      </w:r>
      <w:r w:rsidR="004B4904">
        <w:rPr>
          <w:rFonts w:ascii="Arial" w:hAnsi="Arial" w:cs="Arial"/>
        </w:rPr>
        <w:t>2.2 to 2.3 Cont</w:t>
      </w:r>
      <w:bookmarkStart w:id="0" w:name="_GoBack"/>
      <w:bookmarkEnd w:id="0"/>
      <w:r w:rsidR="004B4904">
        <w:rPr>
          <w:rFonts w:ascii="Arial" w:hAnsi="Arial" w:cs="Arial"/>
        </w:rPr>
        <w:t>ractual Arrangements, Compliance Arrangements</w:t>
      </w:r>
      <w:r w:rsidR="00E95901">
        <w:rPr>
          <w:rFonts w:ascii="Arial" w:hAnsi="Arial" w:cs="Arial"/>
        </w:rPr>
        <w:t>.</w:t>
      </w:r>
      <w:r>
        <w:rPr>
          <w:rFonts w:ascii="Arial" w:hAnsi="Arial" w:cs="Arial"/>
        </w:rPr>
        <w:t xml:space="preserve"> </w:t>
      </w:r>
    </w:p>
    <w:tbl>
      <w:tblPr>
        <w:tblW w:w="15035" w:type="dxa"/>
        <w:tblInd w:w="-5" w:type="dxa"/>
        <w:tblLook w:val="04A0" w:firstRow="1" w:lastRow="0" w:firstColumn="1" w:lastColumn="0" w:noHBand="0" w:noVBand="1"/>
      </w:tblPr>
      <w:tblGrid>
        <w:gridCol w:w="562"/>
        <w:gridCol w:w="12616"/>
        <w:gridCol w:w="567"/>
        <w:gridCol w:w="567"/>
        <w:gridCol w:w="723"/>
      </w:tblGrid>
      <w:tr w:rsidR="000F21C5" w:rsidRPr="00E92BBE" w14:paraId="4F86C9B2" w14:textId="77777777" w:rsidTr="00BB4BA2">
        <w:trPr>
          <w:trHeight w:val="637"/>
          <w:tblHeader/>
        </w:trPr>
        <w:tc>
          <w:tcPr>
            <w:tcW w:w="562" w:type="dxa"/>
            <w:vMerge w:val="restart"/>
            <w:tcBorders>
              <w:top w:val="single" w:sz="4" w:space="0" w:color="auto"/>
              <w:left w:val="single" w:sz="4" w:space="0" w:color="auto"/>
              <w:right w:val="single" w:sz="4" w:space="0" w:color="auto"/>
            </w:tcBorders>
            <w:shd w:val="clear" w:color="auto" w:fill="51247A"/>
            <w:vAlign w:val="center"/>
            <w:hideMark/>
          </w:tcPr>
          <w:p w14:paraId="2D4B6667" w14:textId="77777777" w:rsidR="000F21C5" w:rsidRPr="000F21C5" w:rsidRDefault="000F21C5" w:rsidP="00FD2D16">
            <w:pPr>
              <w:spacing w:after="0" w:line="240" w:lineRule="auto"/>
              <w:jc w:val="center"/>
              <w:rPr>
                <w:rFonts w:ascii="Arial" w:eastAsia="Times New Roman" w:hAnsi="Arial" w:cs="Arial"/>
                <w:b/>
                <w:bCs/>
                <w:color w:val="FFFFFF" w:themeColor="background1"/>
                <w:sz w:val="20"/>
                <w:szCs w:val="20"/>
                <w:lang w:eastAsia="en-AU"/>
              </w:rPr>
            </w:pPr>
            <w:r w:rsidRPr="000F21C5">
              <w:rPr>
                <w:rFonts w:ascii="Arial" w:eastAsia="Times New Roman" w:hAnsi="Arial" w:cs="Arial"/>
                <w:b/>
                <w:bCs/>
                <w:color w:val="FFFFFF" w:themeColor="background1"/>
                <w:sz w:val="20"/>
                <w:szCs w:val="20"/>
                <w:lang w:eastAsia="en-AU"/>
              </w:rPr>
              <w:t>No.</w:t>
            </w:r>
          </w:p>
        </w:tc>
        <w:tc>
          <w:tcPr>
            <w:tcW w:w="12616" w:type="dxa"/>
            <w:vMerge w:val="restart"/>
            <w:tcBorders>
              <w:top w:val="single" w:sz="4" w:space="0" w:color="auto"/>
              <w:left w:val="single" w:sz="4" w:space="0" w:color="auto"/>
              <w:right w:val="single" w:sz="4" w:space="0" w:color="auto"/>
            </w:tcBorders>
            <w:shd w:val="clear" w:color="auto" w:fill="51247A"/>
            <w:vAlign w:val="center"/>
            <w:hideMark/>
          </w:tcPr>
          <w:p w14:paraId="40A45742" w14:textId="77777777" w:rsidR="000F21C5" w:rsidRPr="000F21C5" w:rsidRDefault="00115E21" w:rsidP="00FD2D16">
            <w:pPr>
              <w:spacing w:after="0" w:line="240" w:lineRule="auto"/>
              <w:rPr>
                <w:rFonts w:ascii="Arial" w:eastAsia="Times New Roman" w:hAnsi="Arial" w:cs="Arial"/>
                <w:b/>
                <w:bCs/>
                <w:color w:val="FFFFFF" w:themeColor="background1"/>
                <w:sz w:val="20"/>
                <w:szCs w:val="20"/>
                <w:lang w:eastAsia="en-AU"/>
              </w:rPr>
            </w:pPr>
            <w:r>
              <w:rPr>
                <w:rFonts w:ascii="Arial" w:eastAsia="Times New Roman" w:hAnsi="Arial" w:cs="Arial"/>
                <w:b/>
                <w:bCs/>
                <w:color w:val="FFFFFF" w:themeColor="background1"/>
                <w:sz w:val="20"/>
                <w:szCs w:val="20"/>
                <w:lang w:eastAsia="en-AU"/>
              </w:rPr>
              <w:t>Checklist Item</w:t>
            </w:r>
          </w:p>
        </w:tc>
        <w:tc>
          <w:tcPr>
            <w:tcW w:w="1857" w:type="dxa"/>
            <w:gridSpan w:val="3"/>
            <w:tcBorders>
              <w:top w:val="single" w:sz="4" w:space="0" w:color="auto"/>
              <w:left w:val="single" w:sz="4" w:space="0" w:color="auto"/>
              <w:bottom w:val="single" w:sz="4" w:space="0" w:color="auto"/>
              <w:right w:val="single" w:sz="4" w:space="0" w:color="auto"/>
            </w:tcBorders>
            <w:shd w:val="clear" w:color="auto" w:fill="51247A"/>
            <w:vAlign w:val="center"/>
          </w:tcPr>
          <w:p w14:paraId="7BB450A5" w14:textId="77777777" w:rsidR="000F21C5" w:rsidRPr="000F21C5" w:rsidRDefault="000F21C5" w:rsidP="00FD2D16">
            <w:pPr>
              <w:spacing w:after="0" w:line="240" w:lineRule="auto"/>
              <w:jc w:val="center"/>
              <w:rPr>
                <w:rFonts w:ascii="Arial" w:eastAsia="Times New Roman" w:hAnsi="Arial" w:cs="Arial"/>
                <w:b/>
                <w:bCs/>
                <w:color w:val="FFFFFF" w:themeColor="background1"/>
                <w:sz w:val="20"/>
                <w:szCs w:val="20"/>
                <w:lang w:eastAsia="en-AU"/>
              </w:rPr>
            </w:pPr>
            <w:r w:rsidRPr="000F21C5">
              <w:rPr>
                <w:rFonts w:ascii="Arial" w:eastAsia="Times New Roman" w:hAnsi="Arial" w:cs="Arial"/>
                <w:b/>
                <w:bCs/>
                <w:color w:val="FFFFFF" w:themeColor="background1"/>
                <w:sz w:val="20"/>
                <w:szCs w:val="20"/>
                <w:lang w:eastAsia="en-AU"/>
              </w:rPr>
              <w:t>Check</w:t>
            </w:r>
          </w:p>
        </w:tc>
      </w:tr>
      <w:tr w:rsidR="000F21C5" w:rsidRPr="00E92BBE" w14:paraId="4372E143" w14:textId="77777777" w:rsidTr="00BB4BA2">
        <w:trPr>
          <w:trHeight w:val="288"/>
        </w:trPr>
        <w:tc>
          <w:tcPr>
            <w:tcW w:w="562" w:type="dxa"/>
            <w:vMerge/>
            <w:tcBorders>
              <w:left w:val="single" w:sz="4" w:space="0" w:color="auto"/>
              <w:bottom w:val="single" w:sz="4" w:space="0" w:color="auto"/>
              <w:right w:val="single" w:sz="4" w:space="0" w:color="auto"/>
            </w:tcBorders>
            <w:shd w:val="clear" w:color="auto" w:fill="51247A"/>
          </w:tcPr>
          <w:p w14:paraId="00F47FF8" w14:textId="77777777" w:rsidR="000F21C5" w:rsidRPr="000F21C5" w:rsidRDefault="000F21C5" w:rsidP="000F21C5">
            <w:pPr>
              <w:pStyle w:val="ListParagraph"/>
              <w:spacing w:after="0" w:line="240" w:lineRule="auto"/>
              <w:ind w:left="317"/>
              <w:rPr>
                <w:rFonts w:ascii="Arial" w:hAnsi="Arial" w:cs="Arial"/>
              </w:rPr>
            </w:pPr>
          </w:p>
        </w:tc>
        <w:tc>
          <w:tcPr>
            <w:tcW w:w="12616" w:type="dxa"/>
            <w:vMerge/>
            <w:tcBorders>
              <w:left w:val="single" w:sz="4" w:space="0" w:color="auto"/>
              <w:bottom w:val="single" w:sz="4" w:space="0" w:color="auto"/>
              <w:right w:val="single" w:sz="4" w:space="0" w:color="auto"/>
            </w:tcBorders>
            <w:shd w:val="clear" w:color="auto" w:fill="51247A"/>
          </w:tcPr>
          <w:p w14:paraId="3EDDF974" w14:textId="77777777" w:rsidR="000F21C5" w:rsidRPr="000F21C5" w:rsidRDefault="000F21C5" w:rsidP="00FD2D16">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51247A"/>
          </w:tcPr>
          <w:p w14:paraId="64B79EFF" w14:textId="77777777" w:rsidR="000F21C5" w:rsidRPr="000F21C5" w:rsidRDefault="000F21C5" w:rsidP="000F21C5">
            <w:pPr>
              <w:spacing w:after="0" w:line="240" w:lineRule="auto"/>
              <w:jc w:val="center"/>
              <w:rPr>
                <w:rFonts w:ascii="Arial" w:hAnsi="Arial" w:cs="Arial"/>
                <w:b/>
                <w:color w:val="FFFFFF" w:themeColor="background1"/>
              </w:rPr>
            </w:pPr>
            <w:r w:rsidRPr="000F21C5">
              <w:rPr>
                <w:rFonts w:ascii="Arial" w:hAnsi="Arial" w:cs="Arial"/>
                <w:b/>
                <w:color w:val="FFFFFF" w:themeColor="background1"/>
              </w:rPr>
              <w:t>Y</w:t>
            </w:r>
          </w:p>
        </w:tc>
        <w:tc>
          <w:tcPr>
            <w:tcW w:w="567" w:type="dxa"/>
            <w:tcBorders>
              <w:top w:val="single" w:sz="4" w:space="0" w:color="auto"/>
              <w:left w:val="single" w:sz="4" w:space="0" w:color="auto"/>
              <w:bottom w:val="single" w:sz="4" w:space="0" w:color="auto"/>
              <w:right w:val="single" w:sz="4" w:space="0" w:color="auto"/>
            </w:tcBorders>
            <w:shd w:val="clear" w:color="auto" w:fill="51247A"/>
          </w:tcPr>
          <w:p w14:paraId="735B895B" w14:textId="77777777" w:rsidR="000F21C5" w:rsidRPr="000F21C5" w:rsidRDefault="000F21C5" w:rsidP="000F21C5">
            <w:pPr>
              <w:spacing w:after="0" w:line="240" w:lineRule="auto"/>
              <w:jc w:val="center"/>
              <w:rPr>
                <w:rFonts w:ascii="Arial" w:hAnsi="Arial" w:cs="Arial"/>
                <w:b/>
                <w:color w:val="FFFFFF" w:themeColor="background1"/>
              </w:rPr>
            </w:pPr>
            <w:r w:rsidRPr="000F21C5">
              <w:rPr>
                <w:rFonts w:ascii="Arial" w:hAnsi="Arial" w:cs="Arial"/>
                <w:b/>
                <w:color w:val="FFFFFF" w:themeColor="background1"/>
              </w:rPr>
              <w:t>N</w:t>
            </w:r>
          </w:p>
        </w:tc>
        <w:tc>
          <w:tcPr>
            <w:tcW w:w="723" w:type="dxa"/>
            <w:tcBorders>
              <w:top w:val="single" w:sz="4" w:space="0" w:color="auto"/>
              <w:left w:val="single" w:sz="4" w:space="0" w:color="auto"/>
              <w:bottom w:val="single" w:sz="4" w:space="0" w:color="auto"/>
              <w:right w:val="single" w:sz="4" w:space="0" w:color="auto"/>
            </w:tcBorders>
            <w:shd w:val="clear" w:color="auto" w:fill="51247A"/>
          </w:tcPr>
          <w:p w14:paraId="19B15768" w14:textId="77777777" w:rsidR="000F21C5" w:rsidRPr="000F21C5" w:rsidRDefault="000F21C5" w:rsidP="000F21C5">
            <w:pPr>
              <w:spacing w:after="0" w:line="240" w:lineRule="auto"/>
              <w:jc w:val="center"/>
              <w:rPr>
                <w:rFonts w:ascii="Arial" w:hAnsi="Arial" w:cs="Arial"/>
                <w:b/>
                <w:color w:val="FFFFFF" w:themeColor="background1"/>
              </w:rPr>
            </w:pPr>
            <w:r w:rsidRPr="000F21C5">
              <w:rPr>
                <w:rFonts w:ascii="Arial" w:hAnsi="Arial" w:cs="Arial"/>
                <w:b/>
                <w:color w:val="FFFFFF" w:themeColor="background1"/>
              </w:rPr>
              <w:t>N/A</w:t>
            </w:r>
          </w:p>
        </w:tc>
      </w:tr>
      <w:tr w:rsidR="00B3271E" w:rsidRPr="00E92BBE" w14:paraId="79CBF310" w14:textId="77777777" w:rsidTr="0059770D">
        <w:trPr>
          <w:trHeight w:val="288"/>
        </w:trPr>
        <w:tc>
          <w:tcPr>
            <w:tcW w:w="15035" w:type="dxa"/>
            <w:gridSpan w:val="5"/>
            <w:tcBorders>
              <w:top w:val="single" w:sz="4" w:space="0" w:color="auto"/>
              <w:left w:val="single" w:sz="4" w:space="0" w:color="auto"/>
              <w:bottom w:val="single" w:sz="4" w:space="0" w:color="auto"/>
              <w:right w:val="single" w:sz="4" w:space="0" w:color="auto"/>
            </w:tcBorders>
            <w:shd w:val="clear" w:color="auto" w:fill="BA92DF"/>
          </w:tcPr>
          <w:p w14:paraId="29388ED3" w14:textId="77777777" w:rsidR="00B3271E" w:rsidRPr="00B3271E" w:rsidRDefault="00B3271E" w:rsidP="004B4904">
            <w:pPr>
              <w:spacing w:after="0" w:line="240" w:lineRule="auto"/>
              <w:jc w:val="both"/>
              <w:rPr>
                <w:rFonts w:ascii="Arial" w:hAnsi="Arial" w:cs="Arial"/>
                <w:b/>
              </w:rPr>
            </w:pPr>
            <w:r w:rsidRPr="00B3271E">
              <w:rPr>
                <w:rFonts w:ascii="Arial" w:hAnsi="Arial" w:cs="Arial"/>
                <w:b/>
              </w:rPr>
              <w:t xml:space="preserve">Process </w:t>
            </w:r>
            <w:r w:rsidR="004B4904">
              <w:rPr>
                <w:rFonts w:ascii="Arial" w:hAnsi="Arial" w:cs="Arial"/>
                <w:b/>
              </w:rPr>
              <w:t>2.2 Contractual Commitments</w:t>
            </w:r>
          </w:p>
        </w:tc>
      </w:tr>
      <w:tr w:rsidR="00B30872" w:rsidRPr="00E92BBE" w14:paraId="2A97A7AA" w14:textId="77777777" w:rsidTr="000B5F17">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038B8C8" w14:textId="77777777" w:rsidR="00B30872" w:rsidRPr="000F21C5" w:rsidRDefault="00B30872" w:rsidP="00906275">
            <w:pPr>
              <w:pStyle w:val="ListParagraph"/>
              <w:numPr>
                <w:ilvl w:val="0"/>
                <w:numId w:val="23"/>
              </w:numPr>
              <w:spacing w:after="0" w:line="240" w:lineRule="auto"/>
              <w:ind w:left="317"/>
              <w:rPr>
                <w:rFonts w:ascii="Arial" w:hAnsi="Arial" w:cs="Arial"/>
              </w:rPr>
            </w:pPr>
          </w:p>
        </w:tc>
        <w:tc>
          <w:tcPr>
            <w:tcW w:w="12616" w:type="dxa"/>
            <w:tcBorders>
              <w:top w:val="single" w:sz="4" w:space="0" w:color="auto"/>
              <w:left w:val="single" w:sz="4" w:space="0" w:color="auto"/>
              <w:bottom w:val="single" w:sz="4" w:space="0" w:color="auto"/>
              <w:right w:val="single" w:sz="4" w:space="0" w:color="auto"/>
            </w:tcBorders>
            <w:shd w:val="clear" w:color="auto" w:fill="auto"/>
          </w:tcPr>
          <w:p w14:paraId="3B158FD2" w14:textId="77777777" w:rsidR="00B30872" w:rsidRDefault="00880D57" w:rsidP="00906275">
            <w:pPr>
              <w:spacing w:after="0" w:line="240" w:lineRule="auto"/>
              <w:jc w:val="both"/>
              <w:rPr>
                <w:rFonts w:ascii="Arial" w:hAnsi="Arial" w:cs="Arial"/>
              </w:rPr>
            </w:pPr>
            <w:r>
              <w:rPr>
                <w:rFonts w:ascii="Arial" w:hAnsi="Arial" w:cs="Arial"/>
              </w:rPr>
              <w:t xml:space="preserve">For </w:t>
            </w:r>
            <w:r w:rsidR="00115E21">
              <w:rPr>
                <w:rFonts w:ascii="Arial" w:hAnsi="Arial" w:cs="Arial"/>
              </w:rPr>
              <w:t xml:space="preserve">all </w:t>
            </w:r>
            <w:r>
              <w:rPr>
                <w:rFonts w:ascii="Arial" w:hAnsi="Arial" w:cs="Arial"/>
              </w:rPr>
              <w:t>Category 3 (Industry funding) contracts, has a credit risk assessment been performed?</w:t>
            </w:r>
          </w:p>
          <w:p w14:paraId="453B49D9" w14:textId="71F772E9" w:rsidR="00B30872" w:rsidRDefault="00B30872" w:rsidP="00B30872">
            <w:pPr>
              <w:spacing w:after="0" w:line="240" w:lineRule="auto"/>
              <w:jc w:val="both"/>
              <w:rPr>
                <w:rFonts w:ascii="Arial" w:hAnsi="Arial" w:cs="Arial"/>
                <w:vertAlign w:val="superscript"/>
              </w:rPr>
            </w:pPr>
            <w:r>
              <w:rPr>
                <w:rFonts w:ascii="Arial" w:hAnsi="Arial" w:cs="Arial"/>
                <w:vertAlign w:val="superscript"/>
              </w:rPr>
              <w:t>If no</w:t>
            </w:r>
            <w:r w:rsidRPr="00275E0F">
              <w:rPr>
                <w:rFonts w:ascii="Arial" w:hAnsi="Arial" w:cs="Arial"/>
                <w:vertAlign w:val="superscript"/>
              </w:rPr>
              <w:t xml:space="preserve">, </w:t>
            </w:r>
            <w:r w:rsidR="00BD4F6D">
              <w:rPr>
                <w:rFonts w:ascii="Arial" w:hAnsi="Arial" w:cs="Arial"/>
                <w:vertAlign w:val="superscript"/>
              </w:rPr>
              <w:t>STOP</w:t>
            </w:r>
            <w:r w:rsidR="00880D57">
              <w:rPr>
                <w:rFonts w:ascii="Arial" w:hAnsi="Arial" w:cs="Arial"/>
                <w:vertAlign w:val="superscript"/>
              </w:rPr>
              <w:t xml:space="preserve"> and conduct credit risk assessment</w:t>
            </w:r>
            <w:r w:rsidR="00115E21">
              <w:rPr>
                <w:rFonts w:ascii="Arial" w:hAnsi="Arial" w:cs="Arial"/>
                <w:vertAlign w:val="superscript"/>
              </w:rPr>
              <w:t xml:space="preserve"> as required</w:t>
            </w:r>
            <w:r w:rsidR="00880D57">
              <w:rPr>
                <w:rFonts w:ascii="Arial" w:hAnsi="Arial" w:cs="Arial"/>
                <w:vertAlign w:val="superscript"/>
              </w:rPr>
              <w:t xml:space="preserve"> through Accounts Receivable (refer Process 2.1.3)</w:t>
            </w:r>
            <w:r w:rsidR="00115E21">
              <w:rPr>
                <w:rFonts w:ascii="Arial" w:hAnsi="Arial" w:cs="Arial"/>
                <w:vertAlign w:val="superscript"/>
              </w:rPr>
              <w:t xml:space="preserve"> </w:t>
            </w:r>
            <w:hyperlink r:id="rId8" w:history="1">
              <w:r w:rsidR="00AD1216" w:rsidRPr="00AD1216">
                <w:rPr>
                  <w:rStyle w:val="Hyperlink"/>
                  <w:rFonts w:ascii="Arial" w:hAnsi="Arial" w:cs="Arial"/>
                  <w:vertAlign w:val="superscript"/>
                </w:rPr>
                <w:t>Interim State Flowcharts</w:t>
              </w:r>
            </w:hyperlink>
          </w:p>
          <w:p w14:paraId="0E8CEC84" w14:textId="77777777" w:rsidR="00B30872" w:rsidRPr="000F21C5" w:rsidRDefault="00B30872" w:rsidP="00B30872">
            <w:pPr>
              <w:spacing w:after="0" w:line="240" w:lineRule="auto"/>
              <w:jc w:val="both"/>
              <w:rPr>
                <w:rFonts w:ascii="Arial" w:hAnsi="Arial" w:cs="Arial"/>
              </w:rPr>
            </w:pPr>
            <w:r>
              <w:rPr>
                <w:rFonts w:ascii="Arial" w:hAnsi="Arial" w:cs="Arial"/>
                <w:vertAlign w:val="superscript"/>
              </w:rPr>
              <w:t>If yes</w:t>
            </w:r>
            <w:r w:rsidRPr="00275E0F">
              <w:rPr>
                <w:rFonts w:ascii="Arial" w:hAnsi="Arial" w:cs="Arial"/>
                <w:vertAlign w:val="superscript"/>
              </w:rPr>
              <w:t xml:space="preserve">, </w:t>
            </w:r>
            <w:r>
              <w:rPr>
                <w:rFonts w:ascii="Arial" w:hAnsi="Arial" w:cs="Arial"/>
                <w:vertAlign w:val="superscript"/>
              </w:rPr>
              <w:t>go to Step 2</w:t>
            </w:r>
          </w:p>
        </w:tc>
        <w:tc>
          <w:tcPr>
            <w:tcW w:w="567" w:type="dxa"/>
            <w:tcBorders>
              <w:top w:val="single" w:sz="4" w:space="0" w:color="auto"/>
              <w:left w:val="single" w:sz="4" w:space="0" w:color="auto"/>
              <w:bottom w:val="single" w:sz="4" w:space="0" w:color="auto"/>
              <w:right w:val="single" w:sz="4" w:space="0" w:color="auto"/>
            </w:tcBorders>
          </w:tcPr>
          <w:p w14:paraId="4F5A3FE5" w14:textId="77777777" w:rsidR="00B30872" w:rsidRPr="000F21C5" w:rsidRDefault="00B30872" w:rsidP="00906275">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4521A05" w14:textId="77777777" w:rsidR="00B30872" w:rsidRPr="000F21C5" w:rsidRDefault="00B30872" w:rsidP="00906275">
            <w:pPr>
              <w:spacing w:after="0" w:line="240" w:lineRule="auto"/>
              <w:jc w:val="both"/>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CBD05E2" w14:textId="77777777" w:rsidR="00B30872" w:rsidRPr="000F21C5" w:rsidRDefault="00B30872" w:rsidP="00906275">
            <w:pPr>
              <w:spacing w:after="0" w:line="240" w:lineRule="auto"/>
              <w:jc w:val="both"/>
              <w:rPr>
                <w:rFonts w:ascii="Arial" w:hAnsi="Arial" w:cs="Arial"/>
              </w:rPr>
            </w:pPr>
          </w:p>
        </w:tc>
      </w:tr>
      <w:tr w:rsidR="000F21C5" w:rsidRPr="00E92BBE" w14:paraId="3BDD4E96" w14:textId="77777777" w:rsidTr="000B5F17">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707E247" w14:textId="77777777" w:rsidR="000F21C5" w:rsidRPr="000F21C5" w:rsidRDefault="000F21C5" w:rsidP="00FD2D16">
            <w:pPr>
              <w:pStyle w:val="ListParagraph"/>
              <w:numPr>
                <w:ilvl w:val="0"/>
                <w:numId w:val="23"/>
              </w:numPr>
              <w:spacing w:after="0" w:line="240" w:lineRule="auto"/>
              <w:ind w:left="317"/>
              <w:rPr>
                <w:rFonts w:ascii="Arial" w:hAnsi="Arial" w:cs="Arial"/>
              </w:rPr>
            </w:pPr>
          </w:p>
        </w:tc>
        <w:tc>
          <w:tcPr>
            <w:tcW w:w="12616" w:type="dxa"/>
            <w:tcBorders>
              <w:top w:val="single" w:sz="4" w:space="0" w:color="auto"/>
              <w:left w:val="single" w:sz="4" w:space="0" w:color="auto"/>
              <w:bottom w:val="single" w:sz="4" w:space="0" w:color="auto"/>
              <w:right w:val="single" w:sz="4" w:space="0" w:color="auto"/>
            </w:tcBorders>
            <w:shd w:val="clear" w:color="auto" w:fill="auto"/>
          </w:tcPr>
          <w:p w14:paraId="24807624" w14:textId="77777777" w:rsidR="000F21C5" w:rsidRDefault="00880D57" w:rsidP="00FD2D16">
            <w:pPr>
              <w:spacing w:after="0" w:line="240" w:lineRule="auto"/>
              <w:jc w:val="both"/>
              <w:rPr>
                <w:rFonts w:ascii="Arial" w:hAnsi="Arial" w:cs="Arial"/>
              </w:rPr>
            </w:pPr>
            <w:r>
              <w:rPr>
                <w:rFonts w:ascii="Arial" w:hAnsi="Arial" w:cs="Arial"/>
              </w:rPr>
              <w:t>Does the contract adequately address any credit risks identified?</w:t>
            </w:r>
          </w:p>
          <w:p w14:paraId="6F410D54" w14:textId="77777777" w:rsidR="00FC78C7" w:rsidRPr="000F21C5" w:rsidRDefault="00FC78C7" w:rsidP="00FD2D16">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A94FF2" w14:textId="77777777" w:rsidR="000F21C5" w:rsidRPr="000F21C5" w:rsidRDefault="000F21C5" w:rsidP="00FD2D16">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6CB747" w14:textId="77777777" w:rsidR="000F21C5" w:rsidRPr="000F21C5" w:rsidRDefault="000F21C5" w:rsidP="00FD2D16">
            <w:pPr>
              <w:spacing w:after="0" w:line="240" w:lineRule="auto"/>
              <w:jc w:val="both"/>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0CBFF9C2" w14:textId="77777777" w:rsidR="000F21C5" w:rsidRPr="000F21C5" w:rsidRDefault="000F21C5" w:rsidP="00FD2D16">
            <w:pPr>
              <w:spacing w:after="0" w:line="240" w:lineRule="auto"/>
              <w:jc w:val="both"/>
              <w:rPr>
                <w:rFonts w:ascii="Arial" w:hAnsi="Arial" w:cs="Arial"/>
              </w:rPr>
            </w:pPr>
          </w:p>
        </w:tc>
      </w:tr>
      <w:tr w:rsidR="000F21C5" w:rsidRPr="00E92BBE" w14:paraId="37D1E6E9" w14:textId="77777777" w:rsidTr="000B5F17">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41C926E" w14:textId="77777777" w:rsidR="000F21C5" w:rsidRPr="000F21C5" w:rsidRDefault="000F21C5" w:rsidP="00FD2D16">
            <w:pPr>
              <w:pStyle w:val="ListParagraph"/>
              <w:numPr>
                <w:ilvl w:val="0"/>
                <w:numId w:val="23"/>
              </w:numPr>
              <w:spacing w:after="0" w:line="240" w:lineRule="auto"/>
              <w:ind w:left="317"/>
              <w:rPr>
                <w:rFonts w:ascii="Arial" w:hAnsi="Arial" w:cs="Arial"/>
              </w:rPr>
            </w:pPr>
          </w:p>
        </w:tc>
        <w:tc>
          <w:tcPr>
            <w:tcW w:w="12616" w:type="dxa"/>
            <w:tcBorders>
              <w:top w:val="single" w:sz="4" w:space="0" w:color="auto"/>
              <w:left w:val="single" w:sz="4" w:space="0" w:color="auto"/>
              <w:bottom w:val="single" w:sz="4" w:space="0" w:color="auto"/>
              <w:right w:val="single" w:sz="4" w:space="0" w:color="auto"/>
            </w:tcBorders>
            <w:shd w:val="clear" w:color="auto" w:fill="auto"/>
          </w:tcPr>
          <w:p w14:paraId="472A59CE" w14:textId="1354A091" w:rsidR="00FC78C7" w:rsidRDefault="00880D57" w:rsidP="00FC78C7">
            <w:pPr>
              <w:spacing w:after="0" w:line="240" w:lineRule="auto"/>
              <w:jc w:val="both"/>
              <w:rPr>
                <w:rFonts w:ascii="Arial" w:hAnsi="Arial" w:cs="Arial"/>
              </w:rPr>
            </w:pPr>
            <w:r>
              <w:rPr>
                <w:rFonts w:ascii="Arial" w:hAnsi="Arial" w:cs="Arial"/>
              </w:rPr>
              <w:t xml:space="preserve">For RCTI contracts, </w:t>
            </w:r>
            <w:r w:rsidR="00FC78C7">
              <w:rPr>
                <w:rFonts w:ascii="Arial" w:hAnsi="Arial" w:cs="Arial"/>
              </w:rPr>
              <w:t>have</w:t>
            </w:r>
            <w:r>
              <w:rPr>
                <w:rFonts w:ascii="Arial" w:hAnsi="Arial" w:cs="Arial"/>
              </w:rPr>
              <w:t xml:space="preserve"> UQ banking details </w:t>
            </w:r>
            <w:r w:rsidR="00FC78C7">
              <w:rPr>
                <w:rFonts w:ascii="Arial" w:hAnsi="Arial" w:cs="Arial"/>
              </w:rPr>
              <w:t xml:space="preserve">only been supplied </w:t>
            </w:r>
            <w:r>
              <w:rPr>
                <w:rFonts w:ascii="Arial" w:hAnsi="Arial" w:cs="Arial"/>
              </w:rPr>
              <w:t xml:space="preserve">in the standard format </w:t>
            </w:r>
            <w:hyperlink r:id="rId9" w:history="1">
              <w:r w:rsidR="00AD1216" w:rsidRPr="00AD1216">
                <w:rPr>
                  <w:rStyle w:val="Hyperlink"/>
                  <w:rFonts w:ascii="Arial" w:hAnsi="Arial" w:cs="Arial"/>
                </w:rPr>
                <w:t>RCTI Banking Form</w:t>
              </w:r>
            </w:hyperlink>
            <w:r w:rsidR="00AD1216">
              <w:rPr>
                <w:rFonts w:ascii="Arial" w:hAnsi="Arial" w:cs="Arial"/>
              </w:rPr>
              <w:t xml:space="preserve"> </w:t>
            </w:r>
            <w:r>
              <w:rPr>
                <w:rFonts w:ascii="Arial" w:hAnsi="Arial" w:cs="Arial"/>
              </w:rPr>
              <w:t>and with the RM reference supplied</w:t>
            </w:r>
            <w:r w:rsidR="00FC78C7">
              <w:rPr>
                <w:rFonts w:ascii="Arial" w:hAnsi="Arial" w:cs="Arial"/>
              </w:rPr>
              <w:t xml:space="preserve"> to be used as the remittance reference?</w:t>
            </w:r>
          </w:p>
          <w:p w14:paraId="3EC4177E" w14:textId="77777777" w:rsidR="00115E21" w:rsidRDefault="00115E21" w:rsidP="00FC78C7">
            <w:pPr>
              <w:spacing w:after="0" w:line="240" w:lineRule="auto"/>
              <w:jc w:val="both"/>
              <w:rPr>
                <w:rFonts w:ascii="Arial" w:hAnsi="Arial" w:cs="Arial"/>
                <w:vertAlign w:val="superscript"/>
              </w:rPr>
            </w:pPr>
            <w:r>
              <w:rPr>
                <w:rFonts w:ascii="Arial" w:hAnsi="Arial" w:cs="Arial"/>
                <w:vertAlign w:val="superscript"/>
              </w:rPr>
              <w:t>Where UQ banking details are supplied without the need to quote the RM number as remittance reference, this results in increased administrative effort to manage unallocated deposits</w:t>
            </w:r>
          </w:p>
          <w:p w14:paraId="03C60695" w14:textId="77777777" w:rsidR="00115E21" w:rsidRPr="000F21C5" w:rsidRDefault="00115E21" w:rsidP="00FC78C7">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F73262" w14:textId="77777777" w:rsidR="000F21C5" w:rsidRPr="000F21C5" w:rsidRDefault="000F21C5" w:rsidP="00FD2D16">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54B28B" w14:textId="77777777" w:rsidR="000F21C5" w:rsidRPr="000F21C5" w:rsidRDefault="000F21C5" w:rsidP="00FD2D16">
            <w:pPr>
              <w:spacing w:after="0" w:line="240" w:lineRule="auto"/>
              <w:jc w:val="both"/>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8524946" w14:textId="77777777" w:rsidR="000F21C5" w:rsidRPr="000F21C5" w:rsidRDefault="000F21C5" w:rsidP="00FD2D16">
            <w:pPr>
              <w:spacing w:after="0" w:line="240" w:lineRule="auto"/>
              <w:jc w:val="both"/>
              <w:rPr>
                <w:rFonts w:ascii="Arial" w:hAnsi="Arial" w:cs="Arial"/>
              </w:rPr>
            </w:pPr>
          </w:p>
        </w:tc>
      </w:tr>
      <w:tr w:rsidR="000F21C5" w:rsidRPr="00E92BBE" w14:paraId="0C3963F2" w14:textId="77777777" w:rsidTr="000B5F17">
        <w:trPr>
          <w:trHeight w:val="243"/>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A944261" w14:textId="77777777" w:rsidR="000F21C5" w:rsidRPr="000F21C5" w:rsidRDefault="000F21C5" w:rsidP="00FD2D16">
            <w:pPr>
              <w:pStyle w:val="ListParagraph"/>
              <w:numPr>
                <w:ilvl w:val="0"/>
                <w:numId w:val="23"/>
              </w:numPr>
              <w:spacing w:after="0" w:line="240" w:lineRule="auto"/>
              <w:ind w:left="317"/>
              <w:rPr>
                <w:rFonts w:ascii="Arial" w:hAnsi="Arial" w:cs="Arial"/>
              </w:rPr>
            </w:pPr>
          </w:p>
        </w:tc>
        <w:tc>
          <w:tcPr>
            <w:tcW w:w="12616" w:type="dxa"/>
            <w:tcBorders>
              <w:top w:val="single" w:sz="4" w:space="0" w:color="auto"/>
              <w:left w:val="single" w:sz="4" w:space="0" w:color="auto"/>
              <w:bottom w:val="single" w:sz="4" w:space="0" w:color="auto"/>
              <w:right w:val="single" w:sz="4" w:space="0" w:color="auto"/>
            </w:tcBorders>
            <w:shd w:val="clear" w:color="auto" w:fill="auto"/>
          </w:tcPr>
          <w:p w14:paraId="74C32C85" w14:textId="1C6BA7C2" w:rsidR="000F21C5" w:rsidRDefault="00FC78C7" w:rsidP="00FC78C7">
            <w:pPr>
              <w:spacing w:after="0" w:line="240" w:lineRule="auto"/>
              <w:jc w:val="both"/>
              <w:rPr>
                <w:rFonts w:ascii="Arial" w:hAnsi="Arial" w:cs="Arial"/>
              </w:rPr>
            </w:pPr>
            <w:r>
              <w:rPr>
                <w:rFonts w:ascii="Arial" w:hAnsi="Arial" w:cs="Arial"/>
              </w:rPr>
              <w:t>For all contracts, have b</w:t>
            </w:r>
            <w:r w:rsidR="00880D57" w:rsidRPr="00880D57">
              <w:rPr>
                <w:rFonts w:ascii="Arial" w:hAnsi="Arial" w:cs="Arial"/>
              </w:rPr>
              <w:t>ill</w:t>
            </w:r>
            <w:r w:rsidR="00880D57">
              <w:rPr>
                <w:rFonts w:ascii="Arial" w:hAnsi="Arial" w:cs="Arial"/>
              </w:rPr>
              <w:t xml:space="preserve">ing </w:t>
            </w:r>
            <w:r w:rsidR="00880D57" w:rsidRPr="00880D57">
              <w:rPr>
                <w:rFonts w:ascii="Arial" w:hAnsi="Arial" w:cs="Arial"/>
              </w:rPr>
              <w:t xml:space="preserve">details </w:t>
            </w:r>
            <w:r>
              <w:rPr>
                <w:rFonts w:ascii="Arial" w:hAnsi="Arial" w:cs="Arial"/>
              </w:rPr>
              <w:t>been</w:t>
            </w:r>
            <w:r w:rsidR="00880D57" w:rsidRPr="00880D57">
              <w:rPr>
                <w:rFonts w:ascii="Arial" w:hAnsi="Arial" w:cs="Arial"/>
              </w:rPr>
              <w:t xml:space="preserve"> completed in </w:t>
            </w:r>
            <w:r>
              <w:rPr>
                <w:rFonts w:ascii="Arial" w:hAnsi="Arial" w:cs="Arial"/>
              </w:rPr>
              <w:t xml:space="preserve">the </w:t>
            </w:r>
            <w:r w:rsidR="00880D57" w:rsidRPr="00880D57">
              <w:rPr>
                <w:rFonts w:ascii="Arial" w:hAnsi="Arial" w:cs="Arial"/>
              </w:rPr>
              <w:t xml:space="preserve">standard UQ contract format or </w:t>
            </w:r>
            <w:r>
              <w:rPr>
                <w:rFonts w:ascii="Arial" w:hAnsi="Arial" w:cs="Arial"/>
              </w:rPr>
              <w:t>a</w:t>
            </w:r>
            <w:r w:rsidR="00880D57" w:rsidRPr="00880D57">
              <w:rPr>
                <w:rFonts w:ascii="Arial" w:hAnsi="Arial" w:cs="Arial"/>
              </w:rPr>
              <w:t xml:space="preserve"> </w:t>
            </w:r>
            <w:hyperlink r:id="rId10" w:history="1">
              <w:r w:rsidR="00880D57" w:rsidRPr="00AD1216">
                <w:rPr>
                  <w:rStyle w:val="Hyperlink"/>
                  <w:rFonts w:ascii="Arial" w:hAnsi="Arial" w:cs="Arial"/>
                </w:rPr>
                <w:t xml:space="preserve">Billing </w:t>
              </w:r>
              <w:r w:rsidR="00AD1216" w:rsidRPr="00AD1216">
                <w:rPr>
                  <w:rStyle w:val="Hyperlink"/>
                  <w:rFonts w:ascii="Arial" w:hAnsi="Arial" w:cs="Arial"/>
                </w:rPr>
                <w:t>Information Form</w:t>
              </w:r>
            </w:hyperlink>
            <w:r>
              <w:rPr>
                <w:rFonts w:ascii="Arial" w:hAnsi="Arial" w:cs="Arial"/>
              </w:rPr>
              <w:t xml:space="preserve"> in standard format </w:t>
            </w:r>
            <w:r>
              <w:rPr>
                <w:rFonts w:ascii="Calibri" w:hAnsi="Calibri" w:cs="Calibri"/>
                <w:color w:val="000000"/>
                <w:sz w:val="24"/>
                <w:szCs w:val="24"/>
              </w:rPr>
              <w:t xml:space="preserve">has been </w:t>
            </w:r>
            <w:r w:rsidR="00880D57">
              <w:rPr>
                <w:rFonts w:ascii="Arial" w:hAnsi="Arial" w:cs="Arial"/>
              </w:rPr>
              <w:t xml:space="preserve">appended to </w:t>
            </w:r>
            <w:r>
              <w:rPr>
                <w:rFonts w:ascii="Arial" w:hAnsi="Arial" w:cs="Arial"/>
              </w:rPr>
              <w:t xml:space="preserve">the </w:t>
            </w:r>
            <w:r w:rsidR="00880D57">
              <w:rPr>
                <w:rFonts w:ascii="Arial" w:hAnsi="Arial" w:cs="Arial"/>
              </w:rPr>
              <w:t>customer contract or</w:t>
            </w:r>
            <w:r w:rsidR="00880D57" w:rsidRPr="00880D57">
              <w:rPr>
                <w:rFonts w:ascii="Arial" w:hAnsi="Arial" w:cs="Arial"/>
              </w:rPr>
              <w:t xml:space="preserve"> </w:t>
            </w:r>
            <w:r w:rsidR="00880D57">
              <w:rPr>
                <w:rFonts w:ascii="Arial" w:hAnsi="Arial" w:cs="Arial"/>
              </w:rPr>
              <w:t>forwarded to OSR for attachment to</w:t>
            </w:r>
            <w:r w:rsidR="00880D57" w:rsidRPr="00880D57">
              <w:rPr>
                <w:rFonts w:ascii="Arial" w:hAnsi="Arial" w:cs="Arial"/>
              </w:rPr>
              <w:t xml:space="preserve"> </w:t>
            </w:r>
            <w:r>
              <w:rPr>
                <w:rFonts w:ascii="Arial" w:hAnsi="Arial" w:cs="Arial"/>
              </w:rPr>
              <w:t xml:space="preserve">the </w:t>
            </w:r>
            <w:r w:rsidR="00880D57" w:rsidRPr="00880D57">
              <w:rPr>
                <w:rFonts w:ascii="Arial" w:hAnsi="Arial" w:cs="Arial"/>
              </w:rPr>
              <w:t>GRL</w:t>
            </w:r>
            <w:r>
              <w:rPr>
                <w:rFonts w:ascii="Arial" w:hAnsi="Arial" w:cs="Arial"/>
              </w:rPr>
              <w:t>?</w:t>
            </w:r>
            <w:r w:rsidR="00880D57" w:rsidRPr="00880D57">
              <w:rPr>
                <w:rFonts w:ascii="Arial" w:hAnsi="Arial" w:cs="Arial"/>
              </w:rPr>
              <w:t xml:space="preserve"> </w:t>
            </w:r>
          </w:p>
          <w:p w14:paraId="7E8FEDBD" w14:textId="77777777" w:rsidR="00FC78C7" w:rsidRDefault="00115E21" w:rsidP="00FC78C7">
            <w:pPr>
              <w:spacing w:after="0" w:line="240" w:lineRule="auto"/>
              <w:jc w:val="both"/>
              <w:rPr>
                <w:rFonts w:ascii="Arial" w:hAnsi="Arial" w:cs="Arial"/>
                <w:vertAlign w:val="superscript"/>
              </w:rPr>
            </w:pPr>
            <w:r>
              <w:rPr>
                <w:rFonts w:ascii="Arial" w:hAnsi="Arial" w:cs="Arial"/>
                <w:vertAlign w:val="superscript"/>
              </w:rPr>
              <w:t>Where inadequate billing details are supplied to Finance, billings may be incorrect and incomplete and may result in long outstanding debt and additional administrative effort.</w:t>
            </w:r>
          </w:p>
          <w:p w14:paraId="72A05C93" w14:textId="77777777" w:rsidR="00115E21" w:rsidRPr="000F21C5" w:rsidRDefault="00115E21" w:rsidP="00FC78C7">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0C696B" w14:textId="77777777" w:rsidR="000F21C5" w:rsidRPr="000F21C5" w:rsidRDefault="000F21C5" w:rsidP="00FD2D16">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34E4A5" w14:textId="77777777" w:rsidR="000F21C5" w:rsidRPr="000F21C5" w:rsidRDefault="000F21C5" w:rsidP="00FD2D16">
            <w:pPr>
              <w:spacing w:after="0" w:line="240" w:lineRule="auto"/>
              <w:jc w:val="both"/>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78345F4F" w14:textId="77777777" w:rsidR="000F21C5" w:rsidRPr="000F21C5" w:rsidRDefault="000F21C5" w:rsidP="00FD2D16">
            <w:pPr>
              <w:spacing w:after="0" w:line="240" w:lineRule="auto"/>
              <w:jc w:val="both"/>
              <w:rPr>
                <w:rFonts w:ascii="Arial" w:hAnsi="Arial" w:cs="Arial"/>
              </w:rPr>
            </w:pPr>
          </w:p>
        </w:tc>
      </w:tr>
      <w:tr w:rsidR="000F21C5" w:rsidRPr="002379F5" w14:paraId="5204252E" w14:textId="77777777" w:rsidTr="007729B8">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0BBF357" w14:textId="77777777" w:rsidR="000F21C5" w:rsidRPr="000F21C5" w:rsidRDefault="000F21C5" w:rsidP="00FD2D16">
            <w:pPr>
              <w:pStyle w:val="ListParagraph"/>
              <w:numPr>
                <w:ilvl w:val="0"/>
                <w:numId w:val="23"/>
              </w:numPr>
              <w:spacing w:after="0" w:line="240" w:lineRule="auto"/>
              <w:ind w:left="317"/>
              <w:rPr>
                <w:rFonts w:ascii="Arial" w:hAnsi="Arial" w:cs="Arial"/>
              </w:rPr>
            </w:pPr>
          </w:p>
        </w:tc>
        <w:tc>
          <w:tcPr>
            <w:tcW w:w="12616" w:type="dxa"/>
            <w:tcBorders>
              <w:top w:val="single" w:sz="4" w:space="0" w:color="auto"/>
              <w:left w:val="single" w:sz="4" w:space="0" w:color="auto"/>
              <w:bottom w:val="single" w:sz="4" w:space="0" w:color="auto"/>
              <w:right w:val="single" w:sz="4" w:space="0" w:color="auto"/>
            </w:tcBorders>
            <w:shd w:val="clear" w:color="auto" w:fill="auto"/>
          </w:tcPr>
          <w:p w14:paraId="1572FB78" w14:textId="77777777" w:rsidR="00B30872" w:rsidRDefault="00FC78C7" w:rsidP="00FC78C7">
            <w:pPr>
              <w:spacing w:after="0" w:line="240" w:lineRule="auto"/>
              <w:jc w:val="both"/>
              <w:rPr>
                <w:rFonts w:ascii="Arial" w:hAnsi="Arial" w:cs="Arial"/>
              </w:rPr>
            </w:pPr>
            <w:r>
              <w:rPr>
                <w:rFonts w:ascii="Arial" w:hAnsi="Arial" w:cs="Arial"/>
              </w:rPr>
              <w:t xml:space="preserve">Where contracts include a contractual commitment for “in kind”, is the detailed commitment clearly articulated in the </w:t>
            </w:r>
            <w:r w:rsidR="007729B8">
              <w:rPr>
                <w:rFonts w:ascii="Arial" w:hAnsi="Arial" w:cs="Arial"/>
              </w:rPr>
              <w:t>contract for the purposes of reporting back on achievement?</w:t>
            </w:r>
          </w:p>
          <w:p w14:paraId="7725DA2C" w14:textId="77777777" w:rsidR="00FC78C7" w:rsidRPr="00275E0F" w:rsidRDefault="00FC78C7" w:rsidP="00FC78C7">
            <w:pPr>
              <w:spacing w:after="0" w:line="240" w:lineRule="auto"/>
              <w:jc w:val="both"/>
              <w:rPr>
                <w:rFonts w:ascii="Arial" w:hAnsi="Arial" w:cs="Arial"/>
                <w:vertAlign w:val="superscript"/>
              </w:rPr>
            </w:pPr>
            <w:r>
              <w:rPr>
                <w:rFonts w:ascii="Arial" w:hAnsi="Arial" w:cs="Arial"/>
                <w:vertAlign w:val="superscript"/>
              </w:rPr>
              <w:t>Ideally the</w:t>
            </w:r>
            <w:r w:rsidR="007729B8">
              <w:rPr>
                <w:rFonts w:ascii="Arial" w:hAnsi="Arial" w:cs="Arial"/>
                <w:vertAlign w:val="superscript"/>
              </w:rPr>
              <w:t xml:space="preserve"> detail recorded in the</w:t>
            </w:r>
            <w:r>
              <w:rPr>
                <w:rFonts w:ascii="Arial" w:hAnsi="Arial" w:cs="Arial"/>
                <w:vertAlign w:val="superscript"/>
              </w:rPr>
              <w:t xml:space="preserve"> contract </w:t>
            </w:r>
            <w:r w:rsidR="007729B8">
              <w:rPr>
                <w:rFonts w:ascii="Arial" w:hAnsi="Arial" w:cs="Arial"/>
                <w:vertAlign w:val="superscript"/>
              </w:rPr>
              <w:t>should enable reporting back to the funding provider on whether the commitment has been discharged.</w:t>
            </w:r>
            <w:r w:rsidR="00115E21">
              <w:rPr>
                <w:rFonts w:ascii="Arial" w:hAnsi="Arial" w:cs="Arial"/>
                <w:vertAlign w:val="superscript"/>
              </w:rPr>
              <w:t xml:space="preserve"> Contracts should not refer to $ lump-sums without being supported by adequate detail.</w:t>
            </w:r>
          </w:p>
          <w:p w14:paraId="022FB0F1" w14:textId="77777777" w:rsidR="00FC78C7" w:rsidRPr="00FC78C7" w:rsidRDefault="00FC78C7" w:rsidP="00FC78C7">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AA3B0D7" w14:textId="77777777" w:rsidR="000F21C5" w:rsidRPr="000F21C5" w:rsidRDefault="000F21C5" w:rsidP="00FD2D16">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4C41726" w14:textId="77777777" w:rsidR="000F21C5" w:rsidRPr="000F21C5" w:rsidRDefault="000F21C5" w:rsidP="00FD2D16">
            <w:pPr>
              <w:spacing w:after="0" w:line="240" w:lineRule="auto"/>
              <w:jc w:val="both"/>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21B90511" w14:textId="77777777" w:rsidR="000F21C5" w:rsidRPr="000F21C5" w:rsidRDefault="000F21C5" w:rsidP="00FD2D16">
            <w:pPr>
              <w:spacing w:after="0" w:line="240" w:lineRule="auto"/>
              <w:jc w:val="both"/>
              <w:rPr>
                <w:rFonts w:ascii="Arial" w:hAnsi="Arial" w:cs="Arial"/>
              </w:rPr>
            </w:pPr>
          </w:p>
        </w:tc>
      </w:tr>
      <w:tr w:rsidR="000F21C5" w:rsidRPr="002379F5" w14:paraId="67BE682F" w14:textId="77777777" w:rsidTr="007729B8">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41344E9" w14:textId="77777777" w:rsidR="000F21C5" w:rsidRPr="000F21C5" w:rsidRDefault="000F21C5" w:rsidP="00FD2D16">
            <w:pPr>
              <w:pStyle w:val="ListParagraph"/>
              <w:numPr>
                <w:ilvl w:val="0"/>
                <w:numId w:val="23"/>
              </w:numPr>
              <w:spacing w:after="0" w:line="240" w:lineRule="auto"/>
              <w:ind w:left="317"/>
              <w:rPr>
                <w:rFonts w:ascii="Arial" w:hAnsi="Arial" w:cs="Arial"/>
              </w:rPr>
            </w:pPr>
          </w:p>
        </w:tc>
        <w:tc>
          <w:tcPr>
            <w:tcW w:w="12616" w:type="dxa"/>
            <w:tcBorders>
              <w:top w:val="single" w:sz="4" w:space="0" w:color="auto"/>
              <w:left w:val="single" w:sz="4" w:space="0" w:color="auto"/>
              <w:bottom w:val="single" w:sz="4" w:space="0" w:color="auto"/>
              <w:right w:val="single" w:sz="4" w:space="0" w:color="auto"/>
            </w:tcBorders>
            <w:shd w:val="clear" w:color="auto" w:fill="auto"/>
          </w:tcPr>
          <w:p w14:paraId="72474109" w14:textId="77777777" w:rsidR="00275E0F" w:rsidRDefault="007729B8" w:rsidP="00FD2D16">
            <w:pPr>
              <w:spacing w:after="0" w:line="240" w:lineRule="auto"/>
              <w:jc w:val="both"/>
              <w:rPr>
                <w:rFonts w:ascii="Arial" w:hAnsi="Arial" w:cs="Arial"/>
              </w:rPr>
            </w:pPr>
            <w:r w:rsidRPr="007729B8">
              <w:rPr>
                <w:rFonts w:ascii="Arial" w:hAnsi="Arial" w:cs="Arial"/>
              </w:rPr>
              <w:t xml:space="preserve">Have </w:t>
            </w:r>
            <w:r>
              <w:rPr>
                <w:rFonts w:ascii="Arial" w:hAnsi="Arial" w:cs="Arial"/>
              </w:rPr>
              <w:t>you considered whether the contract includes onerous financial reporting or other administrative conditions which should be further negotiated?</w:t>
            </w:r>
          </w:p>
          <w:p w14:paraId="3296DE6C" w14:textId="314C35B3" w:rsidR="007729B8" w:rsidRPr="00275E0F" w:rsidRDefault="007729B8" w:rsidP="007729B8">
            <w:pPr>
              <w:spacing w:after="0" w:line="240" w:lineRule="auto"/>
              <w:jc w:val="both"/>
              <w:rPr>
                <w:rFonts w:ascii="Arial" w:hAnsi="Arial" w:cs="Arial"/>
                <w:vertAlign w:val="superscript"/>
              </w:rPr>
            </w:pPr>
            <w:r>
              <w:rPr>
                <w:rFonts w:ascii="Arial" w:hAnsi="Arial" w:cs="Arial"/>
                <w:vertAlign w:val="superscript"/>
              </w:rPr>
              <w:t xml:space="preserve">Where necessary, contact Contracts &amp; Grants Accounting </w:t>
            </w:r>
            <w:hyperlink r:id="rId11" w:history="1">
              <w:r w:rsidR="00AD1216" w:rsidRPr="00AD1216">
                <w:rPr>
                  <w:rStyle w:val="Hyperlink"/>
                  <w:rFonts w:ascii="Arial" w:hAnsi="Arial" w:cs="Arial"/>
                  <w:vertAlign w:val="superscript"/>
                </w:rPr>
                <w:t>Guidelines for negotiating financial clauses</w:t>
              </w:r>
            </w:hyperlink>
            <w:r w:rsidR="00AD1216">
              <w:rPr>
                <w:rFonts w:ascii="Arial" w:hAnsi="Arial" w:cs="Arial"/>
                <w:vertAlign w:val="superscript"/>
              </w:rPr>
              <w:t xml:space="preserve"> </w:t>
            </w:r>
            <w:r>
              <w:rPr>
                <w:rFonts w:ascii="Arial" w:hAnsi="Arial" w:cs="Arial"/>
                <w:vertAlign w:val="superscript"/>
              </w:rPr>
              <w:t>to seek advice.</w:t>
            </w:r>
          </w:p>
          <w:p w14:paraId="60DF9B4A" w14:textId="77777777" w:rsidR="007729B8" w:rsidRDefault="007729B8" w:rsidP="00FD2D16">
            <w:pPr>
              <w:spacing w:after="0" w:line="240" w:lineRule="auto"/>
              <w:jc w:val="both"/>
              <w:rPr>
                <w:rFonts w:ascii="Arial" w:hAnsi="Arial" w:cs="Arial"/>
              </w:rPr>
            </w:pPr>
          </w:p>
          <w:p w14:paraId="7D555FB6" w14:textId="77777777" w:rsidR="00115E21" w:rsidRPr="007729B8" w:rsidRDefault="00115E21" w:rsidP="00FD2D16">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F45D6A8" w14:textId="77777777" w:rsidR="000F21C5" w:rsidRPr="000F21C5" w:rsidRDefault="000F21C5" w:rsidP="00FD2D16">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548C984" w14:textId="77777777" w:rsidR="000F21C5" w:rsidRPr="000F21C5" w:rsidRDefault="000F21C5" w:rsidP="00FD2D16">
            <w:pPr>
              <w:spacing w:after="0" w:line="240" w:lineRule="auto"/>
              <w:jc w:val="both"/>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467A8AB" w14:textId="77777777" w:rsidR="000F21C5" w:rsidRPr="000F21C5" w:rsidRDefault="000F21C5" w:rsidP="00FD2D16">
            <w:pPr>
              <w:spacing w:after="0" w:line="240" w:lineRule="auto"/>
              <w:jc w:val="both"/>
              <w:rPr>
                <w:rFonts w:ascii="Arial" w:hAnsi="Arial" w:cs="Arial"/>
              </w:rPr>
            </w:pPr>
          </w:p>
        </w:tc>
      </w:tr>
      <w:tr w:rsidR="000F21C5" w:rsidRPr="002379F5" w14:paraId="263345AF" w14:textId="77777777" w:rsidTr="007729B8">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EAFB888" w14:textId="77777777" w:rsidR="000F21C5" w:rsidRPr="000F21C5" w:rsidRDefault="000F21C5" w:rsidP="00FD2D16">
            <w:pPr>
              <w:pStyle w:val="ListParagraph"/>
              <w:numPr>
                <w:ilvl w:val="0"/>
                <w:numId w:val="23"/>
              </w:numPr>
              <w:spacing w:after="0" w:line="240" w:lineRule="auto"/>
              <w:ind w:left="317"/>
              <w:rPr>
                <w:rFonts w:ascii="Arial" w:hAnsi="Arial" w:cs="Arial"/>
              </w:rPr>
            </w:pPr>
          </w:p>
        </w:tc>
        <w:tc>
          <w:tcPr>
            <w:tcW w:w="12616" w:type="dxa"/>
            <w:tcBorders>
              <w:top w:val="single" w:sz="4" w:space="0" w:color="auto"/>
              <w:left w:val="single" w:sz="4" w:space="0" w:color="auto"/>
              <w:bottom w:val="single" w:sz="4" w:space="0" w:color="auto"/>
              <w:right w:val="single" w:sz="4" w:space="0" w:color="auto"/>
            </w:tcBorders>
            <w:shd w:val="clear" w:color="auto" w:fill="auto"/>
          </w:tcPr>
          <w:p w14:paraId="0646EAA3" w14:textId="77777777" w:rsidR="007729B8" w:rsidRDefault="007729B8" w:rsidP="007729B8">
            <w:pPr>
              <w:spacing w:after="0" w:line="240" w:lineRule="auto"/>
              <w:jc w:val="both"/>
              <w:rPr>
                <w:rFonts w:ascii="Arial" w:hAnsi="Arial" w:cs="Arial"/>
              </w:rPr>
            </w:pPr>
            <w:r>
              <w:rPr>
                <w:rFonts w:ascii="Arial" w:hAnsi="Arial" w:cs="Arial"/>
              </w:rPr>
              <w:t>For commercial research contracts (or consultancies) which include a budgeted margin, have you ensured that they do not contain a financial acquittal reporting requirement?</w:t>
            </w:r>
          </w:p>
          <w:p w14:paraId="69A42FA7" w14:textId="77777777" w:rsidR="00115E21" w:rsidRPr="00275E0F" w:rsidRDefault="00115E21" w:rsidP="00115E21">
            <w:pPr>
              <w:spacing w:after="0" w:line="240" w:lineRule="auto"/>
              <w:jc w:val="both"/>
              <w:rPr>
                <w:rFonts w:ascii="Arial" w:hAnsi="Arial" w:cs="Arial"/>
                <w:vertAlign w:val="superscript"/>
              </w:rPr>
            </w:pPr>
            <w:r>
              <w:rPr>
                <w:rFonts w:ascii="Arial" w:hAnsi="Arial" w:cs="Arial"/>
                <w:vertAlign w:val="superscript"/>
              </w:rPr>
              <w:t>Financial acquittal is not possible or appropriate where commercial contracts contain a budgeted profit margin.</w:t>
            </w:r>
          </w:p>
          <w:p w14:paraId="5AC4FB99" w14:textId="77777777" w:rsidR="00275E0F" w:rsidRPr="00B3271E" w:rsidRDefault="00275E0F" w:rsidP="00FD2D16">
            <w:pPr>
              <w:spacing w:after="0" w:line="240" w:lineRule="auto"/>
              <w:jc w:val="both"/>
              <w:rPr>
                <w:rFonts w:ascii="Arial" w:hAnsi="Arial" w:cs="Arial"/>
                <w:vertAlign w:val="superscript"/>
              </w:rPr>
            </w:pPr>
          </w:p>
        </w:tc>
        <w:tc>
          <w:tcPr>
            <w:tcW w:w="567" w:type="dxa"/>
            <w:tcBorders>
              <w:top w:val="single" w:sz="4" w:space="0" w:color="auto"/>
              <w:left w:val="single" w:sz="4" w:space="0" w:color="auto"/>
              <w:bottom w:val="single" w:sz="4" w:space="0" w:color="auto"/>
              <w:right w:val="single" w:sz="4" w:space="0" w:color="auto"/>
            </w:tcBorders>
          </w:tcPr>
          <w:p w14:paraId="51F505EE" w14:textId="77777777" w:rsidR="000F21C5" w:rsidRPr="000F21C5" w:rsidRDefault="000F21C5" w:rsidP="00FD2D16">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FF16423" w14:textId="77777777" w:rsidR="000F21C5" w:rsidRPr="000F21C5" w:rsidRDefault="000F21C5" w:rsidP="00FD2D16">
            <w:pPr>
              <w:spacing w:after="0" w:line="240" w:lineRule="auto"/>
              <w:jc w:val="both"/>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2A9B630A" w14:textId="77777777" w:rsidR="000F21C5" w:rsidRPr="000F21C5" w:rsidRDefault="000F21C5" w:rsidP="00FD2D16">
            <w:pPr>
              <w:spacing w:after="0" w:line="240" w:lineRule="auto"/>
              <w:jc w:val="both"/>
              <w:rPr>
                <w:rFonts w:ascii="Arial" w:hAnsi="Arial" w:cs="Arial"/>
              </w:rPr>
            </w:pPr>
          </w:p>
        </w:tc>
      </w:tr>
      <w:tr w:rsidR="000B5F17" w:rsidRPr="002379F5" w14:paraId="2D0635A3" w14:textId="77777777" w:rsidTr="007729B8">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8051641" w14:textId="77777777" w:rsidR="000B5F17" w:rsidRPr="000F21C5" w:rsidRDefault="000B5F17" w:rsidP="00FD2D16">
            <w:pPr>
              <w:pStyle w:val="ListParagraph"/>
              <w:numPr>
                <w:ilvl w:val="0"/>
                <w:numId w:val="23"/>
              </w:numPr>
              <w:spacing w:after="0" w:line="240" w:lineRule="auto"/>
              <w:ind w:left="317"/>
              <w:rPr>
                <w:rFonts w:ascii="Arial" w:hAnsi="Arial" w:cs="Arial"/>
              </w:rPr>
            </w:pPr>
          </w:p>
        </w:tc>
        <w:tc>
          <w:tcPr>
            <w:tcW w:w="12616" w:type="dxa"/>
            <w:tcBorders>
              <w:top w:val="single" w:sz="4" w:space="0" w:color="auto"/>
              <w:left w:val="single" w:sz="4" w:space="0" w:color="auto"/>
              <w:bottom w:val="single" w:sz="4" w:space="0" w:color="auto"/>
              <w:right w:val="single" w:sz="4" w:space="0" w:color="auto"/>
            </w:tcBorders>
            <w:shd w:val="clear" w:color="auto" w:fill="auto"/>
          </w:tcPr>
          <w:p w14:paraId="163380A0" w14:textId="77777777" w:rsidR="000B5F17" w:rsidRDefault="000B5F17" w:rsidP="000B5F17">
            <w:pPr>
              <w:spacing w:after="0" w:line="240" w:lineRule="auto"/>
              <w:jc w:val="both"/>
              <w:rPr>
                <w:rFonts w:ascii="Arial" w:hAnsi="Arial" w:cs="Arial"/>
              </w:rPr>
            </w:pPr>
            <w:r>
              <w:rPr>
                <w:rFonts w:ascii="Arial" w:hAnsi="Arial" w:cs="Arial"/>
              </w:rPr>
              <w:t>Is the contract adequately clear on whether funds will be required to be returned to the funding provider should a surplus exist at the end of the contract?</w:t>
            </w:r>
          </w:p>
          <w:p w14:paraId="50DA38C4" w14:textId="77777777" w:rsidR="000B5F17" w:rsidRPr="00275E0F" w:rsidRDefault="000B5F17" w:rsidP="000B5F17">
            <w:pPr>
              <w:spacing w:after="0" w:line="240" w:lineRule="auto"/>
              <w:jc w:val="both"/>
              <w:rPr>
                <w:rFonts w:ascii="Arial" w:hAnsi="Arial" w:cs="Arial"/>
                <w:vertAlign w:val="superscript"/>
              </w:rPr>
            </w:pPr>
            <w:r>
              <w:rPr>
                <w:rFonts w:ascii="Arial" w:hAnsi="Arial" w:cs="Arial"/>
                <w:vertAlign w:val="superscript"/>
              </w:rPr>
              <w:t>UQ’s preferred position is to retain project surpluses unless a contractual obligation exists to return surplus funds. Research Legal will be required to provide a legal opinion in cases where contract obligations are not clear.</w:t>
            </w:r>
          </w:p>
          <w:p w14:paraId="5EC08B59" w14:textId="77777777" w:rsidR="000B5F17" w:rsidRDefault="000B5F17" w:rsidP="000B5F17">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BAEAE80" w14:textId="77777777" w:rsidR="000B5F17" w:rsidRPr="000F21C5" w:rsidRDefault="000B5F17" w:rsidP="00FD2D16">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7691DD3" w14:textId="77777777" w:rsidR="000B5F17" w:rsidRPr="000F21C5" w:rsidRDefault="000B5F17" w:rsidP="00FD2D16">
            <w:pPr>
              <w:spacing w:after="0" w:line="240" w:lineRule="auto"/>
              <w:jc w:val="both"/>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36A9D968" w14:textId="77777777" w:rsidR="000B5F17" w:rsidRPr="000F21C5" w:rsidRDefault="000B5F17" w:rsidP="00FD2D16">
            <w:pPr>
              <w:spacing w:after="0" w:line="240" w:lineRule="auto"/>
              <w:jc w:val="both"/>
              <w:rPr>
                <w:rFonts w:ascii="Arial" w:hAnsi="Arial" w:cs="Arial"/>
              </w:rPr>
            </w:pPr>
          </w:p>
        </w:tc>
      </w:tr>
      <w:tr w:rsidR="000B5F17" w:rsidRPr="002379F5" w14:paraId="1C958CDB" w14:textId="77777777" w:rsidTr="007729B8">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244734C" w14:textId="77777777" w:rsidR="000B5F17" w:rsidRPr="000F21C5" w:rsidRDefault="000B5F17" w:rsidP="00FD2D16">
            <w:pPr>
              <w:pStyle w:val="ListParagraph"/>
              <w:numPr>
                <w:ilvl w:val="0"/>
                <w:numId w:val="23"/>
              </w:numPr>
              <w:spacing w:after="0" w:line="240" w:lineRule="auto"/>
              <w:ind w:left="317"/>
              <w:rPr>
                <w:rFonts w:ascii="Arial" w:hAnsi="Arial" w:cs="Arial"/>
              </w:rPr>
            </w:pPr>
          </w:p>
        </w:tc>
        <w:tc>
          <w:tcPr>
            <w:tcW w:w="12616" w:type="dxa"/>
            <w:tcBorders>
              <w:top w:val="single" w:sz="4" w:space="0" w:color="auto"/>
              <w:left w:val="single" w:sz="4" w:space="0" w:color="auto"/>
              <w:bottom w:val="single" w:sz="4" w:space="0" w:color="auto"/>
              <w:right w:val="single" w:sz="4" w:space="0" w:color="auto"/>
            </w:tcBorders>
            <w:shd w:val="clear" w:color="auto" w:fill="auto"/>
          </w:tcPr>
          <w:p w14:paraId="77081694" w14:textId="77777777" w:rsidR="000B5F17" w:rsidRDefault="000B5F17" w:rsidP="000B5F17">
            <w:pPr>
              <w:spacing w:after="0" w:line="240" w:lineRule="auto"/>
              <w:jc w:val="both"/>
              <w:rPr>
                <w:rFonts w:ascii="Arial" w:hAnsi="Arial" w:cs="Arial"/>
              </w:rPr>
            </w:pPr>
            <w:r>
              <w:rPr>
                <w:rFonts w:ascii="Arial" w:hAnsi="Arial" w:cs="Arial"/>
              </w:rPr>
              <w:t>Are contract terms adequately clear to enable classification of the contract as Research vs Consulting?</w:t>
            </w:r>
          </w:p>
          <w:p w14:paraId="0C572228" w14:textId="77777777" w:rsidR="00115E21" w:rsidRPr="00275E0F" w:rsidRDefault="00115E21" w:rsidP="00115E21">
            <w:pPr>
              <w:spacing w:after="0" w:line="240" w:lineRule="auto"/>
              <w:jc w:val="both"/>
              <w:rPr>
                <w:rFonts w:ascii="Arial" w:hAnsi="Arial" w:cs="Arial"/>
                <w:vertAlign w:val="superscript"/>
              </w:rPr>
            </w:pPr>
            <w:r>
              <w:rPr>
                <w:rFonts w:ascii="Arial" w:hAnsi="Arial" w:cs="Arial"/>
                <w:vertAlign w:val="superscript"/>
              </w:rPr>
              <w:t>Contracts which are incorrectly classified and are required to be reclassified at the end of the year for HERDC reporting purposes, result in administrative rework and possible non-compliance risks (e.g. Ethics)</w:t>
            </w:r>
          </w:p>
          <w:p w14:paraId="05C60BB6" w14:textId="77777777" w:rsidR="00115E21" w:rsidRDefault="00115E21" w:rsidP="000B5F17">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9BBFAEB" w14:textId="77777777" w:rsidR="000B5F17" w:rsidRPr="000F21C5" w:rsidRDefault="000B5F17" w:rsidP="00FD2D16">
            <w:pPr>
              <w:spacing w:after="0"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B95CCE1" w14:textId="77777777" w:rsidR="000B5F17" w:rsidRPr="000F21C5" w:rsidRDefault="000B5F17" w:rsidP="00FD2D16">
            <w:pPr>
              <w:spacing w:after="0" w:line="240" w:lineRule="auto"/>
              <w:jc w:val="both"/>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CE1C6D5" w14:textId="77777777" w:rsidR="000B5F17" w:rsidRPr="000F21C5" w:rsidRDefault="000B5F17" w:rsidP="00FD2D16">
            <w:pPr>
              <w:spacing w:after="0" w:line="240" w:lineRule="auto"/>
              <w:jc w:val="both"/>
              <w:rPr>
                <w:rFonts w:ascii="Arial" w:hAnsi="Arial" w:cs="Arial"/>
              </w:rPr>
            </w:pPr>
          </w:p>
        </w:tc>
      </w:tr>
    </w:tbl>
    <w:p w14:paraId="30497F3B" w14:textId="77777777" w:rsidR="006B117E" w:rsidRDefault="006B117E" w:rsidP="009F5988"/>
    <w:p w14:paraId="0EA2D3D4" w14:textId="77777777" w:rsidR="00AA3986" w:rsidRPr="00615F7E" w:rsidRDefault="00AA3986" w:rsidP="009F5988"/>
    <w:sectPr w:rsidR="00AA3986" w:rsidRPr="00615F7E" w:rsidSect="00B57FAB">
      <w:headerReference w:type="default" r:id="rId12"/>
      <w:footerReference w:type="default" r:id="rId13"/>
      <w:pgSz w:w="16838" w:h="11906" w:orient="landscape"/>
      <w:pgMar w:top="1843" w:right="962" w:bottom="851" w:left="851"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23826" w14:textId="77777777" w:rsidR="002D2CA5" w:rsidRDefault="002D2CA5" w:rsidP="002F6321">
      <w:pPr>
        <w:spacing w:after="0" w:line="240" w:lineRule="auto"/>
      </w:pPr>
      <w:r>
        <w:separator/>
      </w:r>
    </w:p>
  </w:endnote>
  <w:endnote w:type="continuationSeparator" w:id="0">
    <w:p w14:paraId="1BFA3447" w14:textId="77777777" w:rsidR="002D2CA5" w:rsidRDefault="002D2CA5" w:rsidP="002F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934633"/>
      <w:docPartObj>
        <w:docPartGallery w:val="Page Numbers (Bottom of Page)"/>
        <w:docPartUnique/>
      </w:docPartObj>
    </w:sdtPr>
    <w:sdtEndPr>
      <w:rPr>
        <w:noProof/>
      </w:rPr>
    </w:sdtEndPr>
    <w:sdtContent>
      <w:p w14:paraId="35371D01" w14:textId="32EF17CD" w:rsidR="00107138" w:rsidRDefault="00B57FAB">
        <w:pPr>
          <w:pStyle w:val="Footer"/>
          <w:jc w:val="center"/>
        </w:pPr>
        <w:r>
          <w:t>-</w:t>
        </w:r>
        <w:r w:rsidR="00107138">
          <w:fldChar w:fldCharType="begin"/>
        </w:r>
        <w:r w:rsidR="00107138">
          <w:instrText xml:space="preserve"> PAGE   \* MERGEFORMAT </w:instrText>
        </w:r>
        <w:r w:rsidR="00107138">
          <w:fldChar w:fldCharType="separate"/>
        </w:r>
        <w:r w:rsidR="002D2CA5">
          <w:rPr>
            <w:noProof/>
          </w:rPr>
          <w:t>1</w:t>
        </w:r>
        <w:r w:rsidR="00107138">
          <w:rPr>
            <w:noProof/>
          </w:rPr>
          <w:fldChar w:fldCharType="end"/>
        </w:r>
        <w:r>
          <w:rPr>
            <w:noProof/>
          </w:rPr>
          <w:t>-</w:t>
        </w:r>
      </w:p>
    </w:sdtContent>
  </w:sdt>
  <w:p w14:paraId="1E608CBA" w14:textId="77777777" w:rsidR="00107138" w:rsidRDefault="0010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C98E" w14:textId="77777777" w:rsidR="002D2CA5" w:rsidRDefault="002D2CA5" w:rsidP="002F6321">
      <w:pPr>
        <w:spacing w:after="0" w:line="240" w:lineRule="auto"/>
      </w:pPr>
      <w:r>
        <w:separator/>
      </w:r>
    </w:p>
  </w:footnote>
  <w:footnote w:type="continuationSeparator" w:id="0">
    <w:p w14:paraId="0A38F153" w14:textId="77777777" w:rsidR="002D2CA5" w:rsidRDefault="002D2CA5" w:rsidP="002F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B8B50" w14:textId="67045108" w:rsidR="00A810DC" w:rsidRPr="00BB4BA2" w:rsidRDefault="0038478B">
    <w:pPr>
      <w:pStyle w:val="Header"/>
      <w:rPr>
        <w:color w:val="51247A"/>
        <w:sz w:val="36"/>
        <w:szCs w:val="36"/>
      </w:rPr>
    </w:pPr>
    <w:r w:rsidRPr="00BB4BA2">
      <w:rPr>
        <w:noProof/>
        <w:color w:val="51247A"/>
        <w:lang w:eastAsia="en-AU"/>
      </w:rPr>
      <w:drawing>
        <wp:anchor distT="0" distB="0" distL="114300" distR="114300" simplePos="0" relativeHeight="251659264" behindDoc="0" locked="0" layoutInCell="1" allowOverlap="1" wp14:anchorId="2BA59E03" wp14:editId="0F630ACD">
          <wp:simplePos x="0" y="0"/>
          <wp:positionH relativeFrom="margin">
            <wp:posOffset>8031708</wp:posOffset>
          </wp:positionH>
          <wp:positionV relativeFrom="paragraph">
            <wp:posOffset>-239471</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29B8" w:rsidRPr="00BB4BA2">
      <w:rPr>
        <w:color w:val="51247A"/>
        <w:sz w:val="36"/>
        <w:szCs w:val="36"/>
      </w:rPr>
      <w:t xml:space="preserve">RESEARCH </w:t>
    </w:r>
    <w:r w:rsidR="002B4AEF" w:rsidRPr="00BB4BA2">
      <w:rPr>
        <w:color w:val="51247A"/>
        <w:sz w:val="36"/>
        <w:szCs w:val="36"/>
      </w:rPr>
      <w:t xml:space="preserve">CONTRACTS &amp; GRANTS FINANCIAL MANAGEMENT </w:t>
    </w:r>
  </w:p>
  <w:p w14:paraId="7B5C2AE4" w14:textId="77777777" w:rsidR="009450EF" w:rsidRPr="00BB4BA2" w:rsidRDefault="004B4904" w:rsidP="0038478B">
    <w:pPr>
      <w:pStyle w:val="Heading1"/>
      <w:rPr>
        <w:color w:val="51247A"/>
      </w:rPr>
    </w:pPr>
    <w:r w:rsidRPr="00BB4BA2">
      <w:rPr>
        <w:color w:val="51247A"/>
      </w:rPr>
      <w:t>Contract Checklist</w:t>
    </w:r>
    <w:r w:rsidR="00FB5751" w:rsidRPr="00BB4BA2">
      <w:rPr>
        <w:color w:val="51247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BA0"/>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2029A"/>
    <w:multiLevelType w:val="hybridMultilevel"/>
    <w:tmpl w:val="1BC833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92EF5"/>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A273D"/>
    <w:multiLevelType w:val="hybridMultilevel"/>
    <w:tmpl w:val="EEEC5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8A436A"/>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438DE"/>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D65F2"/>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7E25F4"/>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541DC7"/>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E56F7B"/>
    <w:multiLevelType w:val="hybridMultilevel"/>
    <w:tmpl w:val="2EE0CE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EE491F"/>
    <w:multiLevelType w:val="hybridMultilevel"/>
    <w:tmpl w:val="C71AEA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2F7682"/>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D7F3D"/>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242FC"/>
    <w:multiLevelType w:val="hybridMultilevel"/>
    <w:tmpl w:val="F75ACED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404E3165"/>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AD66CB"/>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C74C12"/>
    <w:multiLevelType w:val="hybridMultilevel"/>
    <w:tmpl w:val="3D72C48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43F5AC8"/>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7C0AE3"/>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C505E7"/>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42124E"/>
    <w:multiLevelType w:val="hybridMultilevel"/>
    <w:tmpl w:val="F75ACED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72057AA2"/>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921E4D"/>
    <w:multiLevelType w:val="hybridMultilevel"/>
    <w:tmpl w:val="493C0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252F76"/>
    <w:multiLevelType w:val="hybridMultilevel"/>
    <w:tmpl w:val="5756F682"/>
    <w:lvl w:ilvl="0" w:tplc="0C090005">
      <w:start w:val="1"/>
      <w:numFmt w:val="bullet"/>
      <w:lvlText w:val=""/>
      <w:lvlJc w:val="left"/>
      <w:pPr>
        <w:ind w:left="678" w:hanging="360"/>
      </w:pPr>
      <w:rPr>
        <w:rFonts w:ascii="Wingdings" w:hAnsi="Wingdings"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24" w15:restartNumberingAfterBreak="0">
    <w:nsid w:val="76E03092"/>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CA377D"/>
    <w:multiLevelType w:val="hybridMultilevel"/>
    <w:tmpl w:val="03CE38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0"/>
  </w:num>
  <w:num w:numId="4">
    <w:abstractNumId w:val="21"/>
  </w:num>
  <w:num w:numId="5">
    <w:abstractNumId w:val="6"/>
  </w:num>
  <w:num w:numId="6">
    <w:abstractNumId w:val="14"/>
  </w:num>
  <w:num w:numId="7">
    <w:abstractNumId w:val="11"/>
  </w:num>
  <w:num w:numId="8">
    <w:abstractNumId w:val="5"/>
  </w:num>
  <w:num w:numId="9">
    <w:abstractNumId w:val="25"/>
  </w:num>
  <w:num w:numId="10">
    <w:abstractNumId w:val="17"/>
  </w:num>
  <w:num w:numId="11">
    <w:abstractNumId w:val="0"/>
  </w:num>
  <w:num w:numId="12">
    <w:abstractNumId w:val="19"/>
  </w:num>
  <w:num w:numId="13">
    <w:abstractNumId w:val="12"/>
  </w:num>
  <w:num w:numId="14">
    <w:abstractNumId w:val="7"/>
  </w:num>
  <w:num w:numId="15">
    <w:abstractNumId w:val="18"/>
  </w:num>
  <w:num w:numId="16">
    <w:abstractNumId w:val="2"/>
  </w:num>
  <w:num w:numId="17">
    <w:abstractNumId w:val="4"/>
  </w:num>
  <w:num w:numId="18">
    <w:abstractNumId w:val="1"/>
  </w:num>
  <w:num w:numId="19">
    <w:abstractNumId w:val="24"/>
  </w:num>
  <w:num w:numId="20">
    <w:abstractNumId w:val="23"/>
  </w:num>
  <w:num w:numId="21">
    <w:abstractNumId w:val="16"/>
  </w:num>
  <w:num w:numId="22">
    <w:abstractNumId w:val="9"/>
  </w:num>
  <w:num w:numId="23">
    <w:abstractNumId w:val="20"/>
  </w:num>
  <w:num w:numId="24">
    <w:abstractNumId w:val="22"/>
  </w:num>
  <w:num w:numId="25">
    <w:abstractNumId w:val="3"/>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53"/>
    <w:rsid w:val="0000648A"/>
    <w:rsid w:val="0000670E"/>
    <w:rsid w:val="00012C61"/>
    <w:rsid w:val="00014C98"/>
    <w:rsid w:val="00020FE5"/>
    <w:rsid w:val="000216FE"/>
    <w:rsid w:val="00022BD4"/>
    <w:rsid w:val="000312C5"/>
    <w:rsid w:val="00034F74"/>
    <w:rsid w:val="00037A5E"/>
    <w:rsid w:val="000423B7"/>
    <w:rsid w:val="00052647"/>
    <w:rsid w:val="00054790"/>
    <w:rsid w:val="00060D12"/>
    <w:rsid w:val="0006115F"/>
    <w:rsid w:val="00063373"/>
    <w:rsid w:val="00064E7C"/>
    <w:rsid w:val="00071033"/>
    <w:rsid w:val="000720BE"/>
    <w:rsid w:val="00073E6A"/>
    <w:rsid w:val="000749CB"/>
    <w:rsid w:val="00094E8D"/>
    <w:rsid w:val="000A1818"/>
    <w:rsid w:val="000A1DBD"/>
    <w:rsid w:val="000A490F"/>
    <w:rsid w:val="000A4AAA"/>
    <w:rsid w:val="000A6536"/>
    <w:rsid w:val="000B5F17"/>
    <w:rsid w:val="000B6760"/>
    <w:rsid w:val="000B6AA8"/>
    <w:rsid w:val="000C0885"/>
    <w:rsid w:val="000C27A5"/>
    <w:rsid w:val="000D111F"/>
    <w:rsid w:val="000E26FD"/>
    <w:rsid w:val="000E2EB1"/>
    <w:rsid w:val="000F21C5"/>
    <w:rsid w:val="00107138"/>
    <w:rsid w:val="001079C6"/>
    <w:rsid w:val="00107CF1"/>
    <w:rsid w:val="00110928"/>
    <w:rsid w:val="00111E0A"/>
    <w:rsid w:val="001133DD"/>
    <w:rsid w:val="00115E21"/>
    <w:rsid w:val="00120790"/>
    <w:rsid w:val="001313C8"/>
    <w:rsid w:val="00136B50"/>
    <w:rsid w:val="00146786"/>
    <w:rsid w:val="0015406B"/>
    <w:rsid w:val="00155B34"/>
    <w:rsid w:val="00167631"/>
    <w:rsid w:val="00194793"/>
    <w:rsid w:val="00196119"/>
    <w:rsid w:val="001966CB"/>
    <w:rsid w:val="001A7BF2"/>
    <w:rsid w:val="001B160F"/>
    <w:rsid w:val="001B4B38"/>
    <w:rsid w:val="001C2DCE"/>
    <w:rsid w:val="001D4F59"/>
    <w:rsid w:val="001D5DFE"/>
    <w:rsid w:val="001E72CE"/>
    <w:rsid w:val="001F44CF"/>
    <w:rsid w:val="001F77D1"/>
    <w:rsid w:val="00206FB7"/>
    <w:rsid w:val="00214B3F"/>
    <w:rsid w:val="002305CE"/>
    <w:rsid w:val="002324F1"/>
    <w:rsid w:val="002379F5"/>
    <w:rsid w:val="00250821"/>
    <w:rsid w:val="002568B6"/>
    <w:rsid w:val="002568CF"/>
    <w:rsid w:val="00270DC5"/>
    <w:rsid w:val="002730C6"/>
    <w:rsid w:val="00275E0F"/>
    <w:rsid w:val="002825B8"/>
    <w:rsid w:val="002906D0"/>
    <w:rsid w:val="002945D0"/>
    <w:rsid w:val="002958F8"/>
    <w:rsid w:val="002A6D66"/>
    <w:rsid w:val="002B498F"/>
    <w:rsid w:val="002B4AEF"/>
    <w:rsid w:val="002B5ADA"/>
    <w:rsid w:val="002C2553"/>
    <w:rsid w:val="002D2CA5"/>
    <w:rsid w:val="002D4C1B"/>
    <w:rsid w:val="002D5045"/>
    <w:rsid w:val="002D65D8"/>
    <w:rsid w:val="002E0D97"/>
    <w:rsid w:val="002E1E55"/>
    <w:rsid w:val="002E6C16"/>
    <w:rsid w:val="002F5F92"/>
    <w:rsid w:val="002F6321"/>
    <w:rsid w:val="002F68C1"/>
    <w:rsid w:val="00302F92"/>
    <w:rsid w:val="0031228A"/>
    <w:rsid w:val="003124A8"/>
    <w:rsid w:val="00322B89"/>
    <w:rsid w:val="00330006"/>
    <w:rsid w:val="003314E3"/>
    <w:rsid w:val="00336C89"/>
    <w:rsid w:val="00350CDF"/>
    <w:rsid w:val="00352FA4"/>
    <w:rsid w:val="00367281"/>
    <w:rsid w:val="00367EFD"/>
    <w:rsid w:val="003713DC"/>
    <w:rsid w:val="00373386"/>
    <w:rsid w:val="00373B61"/>
    <w:rsid w:val="0038449F"/>
    <w:rsid w:val="0038478B"/>
    <w:rsid w:val="00393B00"/>
    <w:rsid w:val="003A0F79"/>
    <w:rsid w:val="003A1037"/>
    <w:rsid w:val="003A26BA"/>
    <w:rsid w:val="003A3072"/>
    <w:rsid w:val="003A4CBC"/>
    <w:rsid w:val="003B0D44"/>
    <w:rsid w:val="003D1CE6"/>
    <w:rsid w:val="003D360C"/>
    <w:rsid w:val="003E3607"/>
    <w:rsid w:val="00403E87"/>
    <w:rsid w:val="00407A61"/>
    <w:rsid w:val="0041502E"/>
    <w:rsid w:val="004158E1"/>
    <w:rsid w:val="0042220D"/>
    <w:rsid w:val="00424BC4"/>
    <w:rsid w:val="0042556A"/>
    <w:rsid w:val="00425714"/>
    <w:rsid w:val="00432D49"/>
    <w:rsid w:val="00434D25"/>
    <w:rsid w:val="00451483"/>
    <w:rsid w:val="00452D03"/>
    <w:rsid w:val="004530D7"/>
    <w:rsid w:val="00453D69"/>
    <w:rsid w:val="0045538C"/>
    <w:rsid w:val="00464969"/>
    <w:rsid w:val="00466333"/>
    <w:rsid w:val="0046712C"/>
    <w:rsid w:val="004736C8"/>
    <w:rsid w:val="00480C89"/>
    <w:rsid w:val="0049696E"/>
    <w:rsid w:val="00496BA3"/>
    <w:rsid w:val="004A39E0"/>
    <w:rsid w:val="004B4904"/>
    <w:rsid w:val="004E0923"/>
    <w:rsid w:val="004E60FB"/>
    <w:rsid w:val="004E763D"/>
    <w:rsid w:val="004F01A8"/>
    <w:rsid w:val="004F70FC"/>
    <w:rsid w:val="0050015C"/>
    <w:rsid w:val="00513288"/>
    <w:rsid w:val="00513493"/>
    <w:rsid w:val="00516AA4"/>
    <w:rsid w:val="005313C1"/>
    <w:rsid w:val="0053241A"/>
    <w:rsid w:val="005332D1"/>
    <w:rsid w:val="0053405E"/>
    <w:rsid w:val="00540C15"/>
    <w:rsid w:val="005540C9"/>
    <w:rsid w:val="005619E4"/>
    <w:rsid w:val="00563106"/>
    <w:rsid w:val="00570403"/>
    <w:rsid w:val="0057252C"/>
    <w:rsid w:val="00584EAD"/>
    <w:rsid w:val="00592C75"/>
    <w:rsid w:val="0059770D"/>
    <w:rsid w:val="005A043B"/>
    <w:rsid w:val="005A0C74"/>
    <w:rsid w:val="005B427D"/>
    <w:rsid w:val="005B75ED"/>
    <w:rsid w:val="005C0F15"/>
    <w:rsid w:val="005C6707"/>
    <w:rsid w:val="005D10D4"/>
    <w:rsid w:val="005D3E8B"/>
    <w:rsid w:val="005E1FC3"/>
    <w:rsid w:val="005E326E"/>
    <w:rsid w:val="005F03EA"/>
    <w:rsid w:val="005F2EA0"/>
    <w:rsid w:val="0060338A"/>
    <w:rsid w:val="00607208"/>
    <w:rsid w:val="00615F7E"/>
    <w:rsid w:val="0062437D"/>
    <w:rsid w:val="00640698"/>
    <w:rsid w:val="00645E09"/>
    <w:rsid w:val="006505CE"/>
    <w:rsid w:val="006530F5"/>
    <w:rsid w:val="0065344A"/>
    <w:rsid w:val="0065751D"/>
    <w:rsid w:val="00657B3D"/>
    <w:rsid w:val="006658CB"/>
    <w:rsid w:val="006675BF"/>
    <w:rsid w:val="00670FBA"/>
    <w:rsid w:val="00677359"/>
    <w:rsid w:val="00685731"/>
    <w:rsid w:val="00697691"/>
    <w:rsid w:val="006A1B9D"/>
    <w:rsid w:val="006A47D0"/>
    <w:rsid w:val="006A6B33"/>
    <w:rsid w:val="006B117E"/>
    <w:rsid w:val="006B604A"/>
    <w:rsid w:val="006C6C14"/>
    <w:rsid w:val="006F1236"/>
    <w:rsid w:val="006F3CEA"/>
    <w:rsid w:val="0071150F"/>
    <w:rsid w:val="00713404"/>
    <w:rsid w:val="00713CF1"/>
    <w:rsid w:val="00714655"/>
    <w:rsid w:val="0071649E"/>
    <w:rsid w:val="0072317B"/>
    <w:rsid w:val="0072508D"/>
    <w:rsid w:val="007358F5"/>
    <w:rsid w:val="00737834"/>
    <w:rsid w:val="007408F7"/>
    <w:rsid w:val="00742942"/>
    <w:rsid w:val="007554F6"/>
    <w:rsid w:val="007579D9"/>
    <w:rsid w:val="007729B8"/>
    <w:rsid w:val="00786635"/>
    <w:rsid w:val="00786F5F"/>
    <w:rsid w:val="0079527D"/>
    <w:rsid w:val="00797553"/>
    <w:rsid w:val="007A02F8"/>
    <w:rsid w:val="007A292C"/>
    <w:rsid w:val="007B47EF"/>
    <w:rsid w:val="007B6C40"/>
    <w:rsid w:val="007C120F"/>
    <w:rsid w:val="007C16D0"/>
    <w:rsid w:val="007C5701"/>
    <w:rsid w:val="007D32AC"/>
    <w:rsid w:val="007E0A39"/>
    <w:rsid w:val="007F5CBD"/>
    <w:rsid w:val="00801D1C"/>
    <w:rsid w:val="00802938"/>
    <w:rsid w:val="00804F13"/>
    <w:rsid w:val="00812EBA"/>
    <w:rsid w:val="008149AA"/>
    <w:rsid w:val="0081739E"/>
    <w:rsid w:val="0083049C"/>
    <w:rsid w:val="008346B9"/>
    <w:rsid w:val="008351F0"/>
    <w:rsid w:val="00835975"/>
    <w:rsid w:val="008410DD"/>
    <w:rsid w:val="008459DF"/>
    <w:rsid w:val="00851788"/>
    <w:rsid w:val="008542F0"/>
    <w:rsid w:val="00861BBA"/>
    <w:rsid w:val="008627F8"/>
    <w:rsid w:val="00864923"/>
    <w:rsid w:val="00880D57"/>
    <w:rsid w:val="008813D9"/>
    <w:rsid w:val="0088594A"/>
    <w:rsid w:val="00892CAA"/>
    <w:rsid w:val="008A06D3"/>
    <w:rsid w:val="008A2610"/>
    <w:rsid w:val="008A7264"/>
    <w:rsid w:val="008B211A"/>
    <w:rsid w:val="008B7749"/>
    <w:rsid w:val="008C08AD"/>
    <w:rsid w:val="008C6CA6"/>
    <w:rsid w:val="008F0363"/>
    <w:rsid w:val="008F709A"/>
    <w:rsid w:val="00932DCF"/>
    <w:rsid w:val="009450EF"/>
    <w:rsid w:val="009718B2"/>
    <w:rsid w:val="00973E34"/>
    <w:rsid w:val="009756B7"/>
    <w:rsid w:val="00976E18"/>
    <w:rsid w:val="009A2098"/>
    <w:rsid w:val="009B12D1"/>
    <w:rsid w:val="009B1B66"/>
    <w:rsid w:val="009B70F7"/>
    <w:rsid w:val="009B7C53"/>
    <w:rsid w:val="009C0081"/>
    <w:rsid w:val="009D00AA"/>
    <w:rsid w:val="009D5ABF"/>
    <w:rsid w:val="009D5FE7"/>
    <w:rsid w:val="009F14C7"/>
    <w:rsid w:val="009F5988"/>
    <w:rsid w:val="00A129F2"/>
    <w:rsid w:val="00A1497B"/>
    <w:rsid w:val="00A15B84"/>
    <w:rsid w:val="00A24C5F"/>
    <w:rsid w:val="00A24D4C"/>
    <w:rsid w:val="00A25ABD"/>
    <w:rsid w:val="00A26FE1"/>
    <w:rsid w:val="00A3450E"/>
    <w:rsid w:val="00A34953"/>
    <w:rsid w:val="00A55D0D"/>
    <w:rsid w:val="00A716B5"/>
    <w:rsid w:val="00A75FDF"/>
    <w:rsid w:val="00A80BEB"/>
    <w:rsid w:val="00A810DC"/>
    <w:rsid w:val="00A863D2"/>
    <w:rsid w:val="00A92DDB"/>
    <w:rsid w:val="00A93E0F"/>
    <w:rsid w:val="00A97241"/>
    <w:rsid w:val="00A9725C"/>
    <w:rsid w:val="00A97FBC"/>
    <w:rsid w:val="00AA1EDC"/>
    <w:rsid w:val="00AA2B8A"/>
    <w:rsid w:val="00AA3986"/>
    <w:rsid w:val="00AA63EA"/>
    <w:rsid w:val="00AA63F6"/>
    <w:rsid w:val="00AD1216"/>
    <w:rsid w:val="00AF1CCB"/>
    <w:rsid w:val="00AF4066"/>
    <w:rsid w:val="00B02E86"/>
    <w:rsid w:val="00B11B76"/>
    <w:rsid w:val="00B12489"/>
    <w:rsid w:val="00B30872"/>
    <w:rsid w:val="00B3271E"/>
    <w:rsid w:val="00B35795"/>
    <w:rsid w:val="00B575E7"/>
    <w:rsid w:val="00B57FAB"/>
    <w:rsid w:val="00B64E37"/>
    <w:rsid w:val="00B7424F"/>
    <w:rsid w:val="00B757EE"/>
    <w:rsid w:val="00B80B06"/>
    <w:rsid w:val="00B81D4A"/>
    <w:rsid w:val="00B8415F"/>
    <w:rsid w:val="00BB0929"/>
    <w:rsid w:val="00BB4BA2"/>
    <w:rsid w:val="00BC3CAC"/>
    <w:rsid w:val="00BC7247"/>
    <w:rsid w:val="00BD4F6D"/>
    <w:rsid w:val="00C03BCB"/>
    <w:rsid w:val="00C101E8"/>
    <w:rsid w:val="00C10D30"/>
    <w:rsid w:val="00C2643F"/>
    <w:rsid w:val="00C30BA1"/>
    <w:rsid w:val="00C31B65"/>
    <w:rsid w:val="00C40CBC"/>
    <w:rsid w:val="00C664B3"/>
    <w:rsid w:val="00C71168"/>
    <w:rsid w:val="00C71831"/>
    <w:rsid w:val="00C72F44"/>
    <w:rsid w:val="00C820FF"/>
    <w:rsid w:val="00C838AA"/>
    <w:rsid w:val="00C83CFD"/>
    <w:rsid w:val="00C8582C"/>
    <w:rsid w:val="00C93949"/>
    <w:rsid w:val="00C951F3"/>
    <w:rsid w:val="00CA43F8"/>
    <w:rsid w:val="00CA771A"/>
    <w:rsid w:val="00CC0479"/>
    <w:rsid w:val="00CC5650"/>
    <w:rsid w:val="00CD13FC"/>
    <w:rsid w:val="00CE3BC9"/>
    <w:rsid w:val="00CE61C6"/>
    <w:rsid w:val="00CF397B"/>
    <w:rsid w:val="00CF3B5A"/>
    <w:rsid w:val="00D110DA"/>
    <w:rsid w:val="00D1120C"/>
    <w:rsid w:val="00D15D4D"/>
    <w:rsid w:val="00D3603C"/>
    <w:rsid w:val="00D36271"/>
    <w:rsid w:val="00D41D74"/>
    <w:rsid w:val="00D42D99"/>
    <w:rsid w:val="00D44636"/>
    <w:rsid w:val="00D44A77"/>
    <w:rsid w:val="00D47933"/>
    <w:rsid w:val="00D554AB"/>
    <w:rsid w:val="00D65656"/>
    <w:rsid w:val="00D73A37"/>
    <w:rsid w:val="00D9359D"/>
    <w:rsid w:val="00DA43E2"/>
    <w:rsid w:val="00DA4C29"/>
    <w:rsid w:val="00DA5082"/>
    <w:rsid w:val="00DA7340"/>
    <w:rsid w:val="00DA7E2C"/>
    <w:rsid w:val="00DB055D"/>
    <w:rsid w:val="00DB0C4D"/>
    <w:rsid w:val="00DB30DE"/>
    <w:rsid w:val="00DB54BE"/>
    <w:rsid w:val="00DC1157"/>
    <w:rsid w:val="00DC186F"/>
    <w:rsid w:val="00DC2B8E"/>
    <w:rsid w:val="00DD16C0"/>
    <w:rsid w:val="00DE4F6F"/>
    <w:rsid w:val="00DF0905"/>
    <w:rsid w:val="00DF4445"/>
    <w:rsid w:val="00E007AD"/>
    <w:rsid w:val="00E05713"/>
    <w:rsid w:val="00E16B61"/>
    <w:rsid w:val="00E1778D"/>
    <w:rsid w:val="00E22173"/>
    <w:rsid w:val="00E22618"/>
    <w:rsid w:val="00E32D56"/>
    <w:rsid w:val="00E36FF5"/>
    <w:rsid w:val="00E37D21"/>
    <w:rsid w:val="00E700B3"/>
    <w:rsid w:val="00E77E57"/>
    <w:rsid w:val="00E8166B"/>
    <w:rsid w:val="00E86969"/>
    <w:rsid w:val="00E91778"/>
    <w:rsid w:val="00E927D3"/>
    <w:rsid w:val="00E92BBE"/>
    <w:rsid w:val="00E95901"/>
    <w:rsid w:val="00EA3FF9"/>
    <w:rsid w:val="00EA76A7"/>
    <w:rsid w:val="00EB5418"/>
    <w:rsid w:val="00EC3D48"/>
    <w:rsid w:val="00ED1D2D"/>
    <w:rsid w:val="00ED27F7"/>
    <w:rsid w:val="00ED28B0"/>
    <w:rsid w:val="00ED368D"/>
    <w:rsid w:val="00ED39FA"/>
    <w:rsid w:val="00ED724C"/>
    <w:rsid w:val="00EE155D"/>
    <w:rsid w:val="00EE2235"/>
    <w:rsid w:val="00EF11DA"/>
    <w:rsid w:val="00F034B1"/>
    <w:rsid w:val="00F06B1E"/>
    <w:rsid w:val="00F313CF"/>
    <w:rsid w:val="00F3382E"/>
    <w:rsid w:val="00F40138"/>
    <w:rsid w:val="00F44B39"/>
    <w:rsid w:val="00F468F6"/>
    <w:rsid w:val="00F477F1"/>
    <w:rsid w:val="00F51B97"/>
    <w:rsid w:val="00F54FAC"/>
    <w:rsid w:val="00F71AF6"/>
    <w:rsid w:val="00F733A8"/>
    <w:rsid w:val="00F7374C"/>
    <w:rsid w:val="00F74FA1"/>
    <w:rsid w:val="00F76F7B"/>
    <w:rsid w:val="00F77027"/>
    <w:rsid w:val="00F77DC4"/>
    <w:rsid w:val="00F821AC"/>
    <w:rsid w:val="00F9199D"/>
    <w:rsid w:val="00FA154D"/>
    <w:rsid w:val="00FB3B30"/>
    <w:rsid w:val="00FB3F4C"/>
    <w:rsid w:val="00FB4ACC"/>
    <w:rsid w:val="00FB5751"/>
    <w:rsid w:val="00FC0569"/>
    <w:rsid w:val="00FC578F"/>
    <w:rsid w:val="00FC78C7"/>
    <w:rsid w:val="00FD1400"/>
    <w:rsid w:val="00FD270D"/>
    <w:rsid w:val="00FD2D16"/>
    <w:rsid w:val="00FD3125"/>
    <w:rsid w:val="00FE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3B553"/>
  <w15:chartTrackingRefBased/>
  <w15:docId w15:val="{63DA38E4-F915-472F-9812-E6254FB8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38478B"/>
    <w:pPr>
      <w:keepNext/>
      <w:tabs>
        <w:tab w:val="left" w:pos="567"/>
        <w:tab w:val="right" w:leader="dot" w:pos="9356"/>
      </w:tabs>
      <w:spacing w:after="70" w:line="240" w:lineRule="auto"/>
      <w:ind w:left="567" w:hanging="567"/>
      <w:jc w:val="both"/>
      <w:outlineLvl w:val="0"/>
    </w:pPr>
    <w:rPr>
      <w:color w:val="7030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7AD"/>
    <w:pPr>
      <w:ind w:left="720"/>
      <w:contextualSpacing/>
    </w:pPr>
  </w:style>
  <w:style w:type="paragraph" w:styleId="Header">
    <w:name w:val="header"/>
    <w:basedOn w:val="Normal"/>
    <w:link w:val="HeaderChar"/>
    <w:uiPriority w:val="99"/>
    <w:unhideWhenUsed/>
    <w:rsid w:val="002F6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321"/>
  </w:style>
  <w:style w:type="paragraph" w:styleId="Footer">
    <w:name w:val="footer"/>
    <w:basedOn w:val="Normal"/>
    <w:link w:val="FooterChar"/>
    <w:uiPriority w:val="99"/>
    <w:unhideWhenUsed/>
    <w:rsid w:val="002F6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321"/>
  </w:style>
  <w:style w:type="paragraph" w:styleId="BalloonText">
    <w:name w:val="Balloon Text"/>
    <w:basedOn w:val="Normal"/>
    <w:link w:val="BalloonTextChar"/>
    <w:uiPriority w:val="99"/>
    <w:semiHidden/>
    <w:unhideWhenUsed/>
    <w:rsid w:val="00572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52C"/>
    <w:rPr>
      <w:rFonts w:ascii="Segoe UI" w:hAnsi="Segoe UI" w:cs="Segoe UI"/>
      <w:sz w:val="18"/>
      <w:szCs w:val="18"/>
    </w:rPr>
  </w:style>
  <w:style w:type="character" w:styleId="Hyperlink">
    <w:name w:val="Hyperlink"/>
    <w:basedOn w:val="DefaultParagraphFont"/>
    <w:uiPriority w:val="99"/>
    <w:unhideWhenUsed/>
    <w:rsid w:val="00E92BBE"/>
    <w:rPr>
      <w:color w:val="0000FF"/>
      <w:u w:val="single"/>
    </w:rPr>
  </w:style>
  <w:style w:type="paragraph" w:customStyle="1" w:styleId="p1">
    <w:name w:val="p1"/>
    <w:basedOn w:val="Normal"/>
    <w:rsid w:val="00D15D4D"/>
    <w:pPr>
      <w:spacing w:after="0" w:line="240" w:lineRule="auto"/>
    </w:pPr>
    <w:rPr>
      <w:rFonts w:ascii=".SF UI Text" w:hAnsi=".SF UI Text" w:cs="Times New Roman"/>
      <w:color w:val="454545"/>
      <w:sz w:val="26"/>
      <w:szCs w:val="26"/>
      <w:lang w:eastAsia="en-AU"/>
    </w:rPr>
  </w:style>
  <w:style w:type="paragraph" w:customStyle="1" w:styleId="p2">
    <w:name w:val="p2"/>
    <w:basedOn w:val="Normal"/>
    <w:rsid w:val="00D15D4D"/>
    <w:pPr>
      <w:spacing w:after="0" w:line="240" w:lineRule="auto"/>
    </w:pPr>
    <w:rPr>
      <w:rFonts w:ascii=".SF UI Text" w:hAnsi=".SF UI Text" w:cs="Times New Roman"/>
      <w:color w:val="454545"/>
      <w:sz w:val="26"/>
      <w:szCs w:val="26"/>
      <w:lang w:eastAsia="en-AU"/>
    </w:rPr>
  </w:style>
  <w:style w:type="character" w:customStyle="1" w:styleId="s1">
    <w:name w:val="s1"/>
    <w:basedOn w:val="DefaultParagraphFont"/>
    <w:rsid w:val="00D15D4D"/>
    <w:rPr>
      <w:rFonts w:ascii=".SFUIText-Semibold" w:hAnsi=".SFUIText-Semibold" w:hint="default"/>
      <w:b w:val="0"/>
      <w:bCs w:val="0"/>
      <w:i w:val="0"/>
      <w:iCs w:val="0"/>
      <w:sz w:val="34"/>
      <w:szCs w:val="34"/>
    </w:rPr>
  </w:style>
  <w:style w:type="character" w:customStyle="1" w:styleId="apple-converted-space">
    <w:name w:val="apple-converted-space"/>
    <w:basedOn w:val="DefaultParagraphFont"/>
    <w:rsid w:val="00D15D4D"/>
  </w:style>
  <w:style w:type="paragraph" w:customStyle="1" w:styleId="Default">
    <w:name w:val="Default"/>
    <w:rsid w:val="00C951F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8478B"/>
    <w:rPr>
      <w:color w:val="7030A0"/>
      <w:sz w:val="32"/>
      <w:szCs w:val="32"/>
    </w:rPr>
  </w:style>
  <w:style w:type="character" w:styleId="FollowedHyperlink">
    <w:name w:val="FollowedHyperlink"/>
    <w:basedOn w:val="DefaultParagraphFont"/>
    <w:uiPriority w:val="99"/>
    <w:semiHidden/>
    <w:unhideWhenUsed/>
    <w:rsid w:val="00C30BA1"/>
    <w:rPr>
      <w:color w:val="954F72" w:themeColor="followedHyperlink"/>
      <w:u w:val="single"/>
    </w:rPr>
  </w:style>
  <w:style w:type="character" w:styleId="CommentReference">
    <w:name w:val="annotation reference"/>
    <w:basedOn w:val="DefaultParagraphFont"/>
    <w:uiPriority w:val="99"/>
    <w:semiHidden/>
    <w:unhideWhenUsed/>
    <w:rsid w:val="00270DC5"/>
    <w:rPr>
      <w:sz w:val="16"/>
      <w:szCs w:val="16"/>
    </w:rPr>
  </w:style>
  <w:style w:type="paragraph" w:styleId="CommentText">
    <w:name w:val="annotation text"/>
    <w:basedOn w:val="Normal"/>
    <w:link w:val="CommentTextChar"/>
    <w:uiPriority w:val="99"/>
    <w:semiHidden/>
    <w:unhideWhenUsed/>
    <w:rsid w:val="00270DC5"/>
    <w:pPr>
      <w:spacing w:line="240" w:lineRule="auto"/>
    </w:pPr>
    <w:rPr>
      <w:sz w:val="20"/>
      <w:szCs w:val="20"/>
    </w:rPr>
  </w:style>
  <w:style w:type="character" w:customStyle="1" w:styleId="CommentTextChar">
    <w:name w:val="Comment Text Char"/>
    <w:basedOn w:val="DefaultParagraphFont"/>
    <w:link w:val="CommentText"/>
    <w:uiPriority w:val="99"/>
    <w:semiHidden/>
    <w:rsid w:val="00270DC5"/>
    <w:rPr>
      <w:sz w:val="20"/>
      <w:szCs w:val="20"/>
    </w:rPr>
  </w:style>
  <w:style w:type="paragraph" w:styleId="CommentSubject">
    <w:name w:val="annotation subject"/>
    <w:basedOn w:val="CommentText"/>
    <w:next w:val="CommentText"/>
    <w:link w:val="CommentSubjectChar"/>
    <w:uiPriority w:val="99"/>
    <w:semiHidden/>
    <w:unhideWhenUsed/>
    <w:rsid w:val="00270DC5"/>
    <w:rPr>
      <w:b/>
      <w:bCs/>
    </w:rPr>
  </w:style>
  <w:style w:type="character" w:customStyle="1" w:styleId="CommentSubjectChar">
    <w:name w:val="Comment Subject Char"/>
    <w:basedOn w:val="CommentTextChar"/>
    <w:link w:val="CommentSubject"/>
    <w:uiPriority w:val="99"/>
    <w:semiHidden/>
    <w:rsid w:val="00270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16059">
      <w:bodyDiv w:val="1"/>
      <w:marLeft w:val="0"/>
      <w:marRight w:val="0"/>
      <w:marTop w:val="0"/>
      <w:marBottom w:val="0"/>
      <w:divBdr>
        <w:top w:val="none" w:sz="0" w:space="0" w:color="auto"/>
        <w:left w:val="none" w:sz="0" w:space="0" w:color="auto"/>
        <w:bottom w:val="none" w:sz="0" w:space="0" w:color="auto"/>
        <w:right w:val="none" w:sz="0" w:space="0" w:color="auto"/>
      </w:divBdr>
    </w:div>
    <w:div w:id="1002507521">
      <w:bodyDiv w:val="1"/>
      <w:marLeft w:val="0"/>
      <w:marRight w:val="0"/>
      <w:marTop w:val="0"/>
      <w:marBottom w:val="0"/>
      <w:divBdr>
        <w:top w:val="none" w:sz="0" w:space="0" w:color="auto"/>
        <w:left w:val="none" w:sz="0" w:space="0" w:color="auto"/>
        <w:bottom w:val="none" w:sz="0" w:space="0" w:color="auto"/>
        <w:right w:val="none" w:sz="0" w:space="0" w:color="auto"/>
      </w:divBdr>
    </w:div>
    <w:div w:id="1116824978">
      <w:bodyDiv w:val="1"/>
      <w:marLeft w:val="0"/>
      <w:marRight w:val="0"/>
      <w:marTop w:val="0"/>
      <w:marBottom w:val="0"/>
      <w:divBdr>
        <w:top w:val="none" w:sz="0" w:space="0" w:color="auto"/>
        <w:left w:val="none" w:sz="0" w:space="0" w:color="auto"/>
        <w:bottom w:val="none" w:sz="0" w:space="0" w:color="auto"/>
        <w:right w:val="none" w:sz="0" w:space="0" w:color="auto"/>
      </w:divBdr>
    </w:div>
    <w:div w:id="1235554217">
      <w:bodyDiv w:val="1"/>
      <w:marLeft w:val="0"/>
      <w:marRight w:val="0"/>
      <w:marTop w:val="0"/>
      <w:marBottom w:val="0"/>
      <w:divBdr>
        <w:top w:val="none" w:sz="0" w:space="0" w:color="auto"/>
        <w:left w:val="none" w:sz="0" w:space="0" w:color="auto"/>
        <w:bottom w:val="none" w:sz="0" w:space="0" w:color="auto"/>
        <w:right w:val="none" w:sz="0" w:space="0" w:color="auto"/>
      </w:divBdr>
    </w:div>
    <w:div w:id="1485706892">
      <w:bodyDiv w:val="1"/>
      <w:marLeft w:val="0"/>
      <w:marRight w:val="0"/>
      <w:marTop w:val="0"/>
      <w:marBottom w:val="0"/>
      <w:divBdr>
        <w:top w:val="none" w:sz="0" w:space="0" w:color="auto"/>
        <w:left w:val="none" w:sz="0" w:space="0" w:color="auto"/>
        <w:bottom w:val="none" w:sz="0" w:space="0" w:color="auto"/>
        <w:right w:val="none" w:sz="0" w:space="0" w:color="auto"/>
      </w:divBdr>
    </w:div>
    <w:div w:id="21396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uq.edu.au/files/5010/research-contracts-and-grants-interim-state-flowchart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o.uq.edu.au/files/5010/research-contracts-and-grants-interim-state-flowchart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ff.uq.edu.au/information-and-services/finance/grants-funding/re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o.uq.edu.au/files/4986/billing-information-form.docx" TargetMode="External"/><Relationship Id="rId4" Type="http://schemas.openxmlformats.org/officeDocument/2006/relationships/webSettings" Target="webSettings.xml"/><Relationship Id="rId9" Type="http://schemas.openxmlformats.org/officeDocument/2006/relationships/hyperlink" Target="https://coo.uq.edu.au/files/5007/rcti-grants-banking-details.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Laurence-Johnson</dc:creator>
  <cp:keywords/>
  <dc:description/>
  <cp:lastModifiedBy>Ivy Lee</cp:lastModifiedBy>
  <cp:revision>7</cp:revision>
  <cp:lastPrinted>2018-08-24T05:56:00Z</cp:lastPrinted>
  <dcterms:created xsi:type="dcterms:W3CDTF">2019-11-07T06:06:00Z</dcterms:created>
  <dcterms:modified xsi:type="dcterms:W3CDTF">2019-11-07T06:28:00Z</dcterms:modified>
</cp:coreProperties>
</file>