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A848E9F" w14:textId="77777777" w:rsidR="001E165D" w:rsidRDefault="006F4AEA" w:rsidP="001E165D">
      <w:pPr>
        <w:pStyle w:val="Heading1"/>
        <w:spacing w:before="0" w:after="0"/>
        <w:ind w:left="-567" w:right="-568"/>
      </w:pPr>
      <w:r w:rsidRPr="006F4AEA">
        <w:t>Low Risk Licence Review Checklist</w:t>
      </w:r>
    </w:p>
    <w:p w14:paraId="6CD194A7" w14:textId="77777777" w:rsidR="001E165D" w:rsidRPr="001E165D" w:rsidRDefault="001E165D" w:rsidP="006F4AEA">
      <w:pPr>
        <w:pStyle w:val="BodyText"/>
        <w:ind w:left="-567" w:right="-568"/>
        <w:rPr>
          <w:i/>
          <w:color w:val="51247A" w:themeColor="accent1"/>
        </w:rPr>
      </w:pPr>
      <w:r w:rsidRPr="001E165D">
        <w:rPr>
          <w:i/>
          <w:color w:val="51247A" w:themeColor="accent1"/>
        </w:rPr>
        <w:t>for cloud services and software and data licenses</w:t>
      </w:r>
    </w:p>
    <w:p w14:paraId="06C11485" w14:textId="09FA9277" w:rsidR="006F4AEA" w:rsidRPr="006F4AEA" w:rsidRDefault="006F4AEA" w:rsidP="006F4AEA">
      <w:pPr>
        <w:pStyle w:val="BodyText"/>
        <w:ind w:left="-567" w:right="-568"/>
      </w:pPr>
      <w:r w:rsidRPr="006F4AEA">
        <w:t>This checklist is for low risk licence agreements for software or data (i.e. the licensed material), including for online subscriptions and other cloud services.  The attached Guidelines provide further assistance.</w:t>
      </w:r>
    </w:p>
    <w:p w14:paraId="10B34C2B" w14:textId="52311A49" w:rsidR="006F4AEA" w:rsidRPr="006F4AEA" w:rsidRDefault="006F4AEA" w:rsidP="006F4AEA">
      <w:pPr>
        <w:pStyle w:val="BodyText"/>
        <w:ind w:left="-567" w:right="-568"/>
      </w:pPr>
      <w:r w:rsidRPr="006F4AEA">
        <w:t xml:space="preserve">Before considering a new licence, check the </w:t>
      </w:r>
      <w:hyperlink r:id="rId11" w:history="1">
        <w:r w:rsidRPr="006F4AEA">
          <w:rPr>
            <w:rStyle w:val="Hyperlink"/>
          </w:rPr>
          <w:t>Standard Software Catalogue</w:t>
        </w:r>
      </w:hyperlink>
      <w:r w:rsidRPr="006F4AEA">
        <w:t xml:space="preserve"> to confirm that UQ does not already have software available to meet your needs and also consider if the licensed material is fit for purpose and compliant with UQ’s </w:t>
      </w:r>
      <w:hyperlink r:id="rId12" w:history="1">
        <w:r w:rsidRPr="006F4AEA">
          <w:rPr>
            <w:rStyle w:val="Hyperlink"/>
          </w:rPr>
          <w:t>ICT policy framework</w:t>
        </w:r>
      </w:hyperlink>
      <w:r w:rsidRPr="006F4AEA">
        <w:t xml:space="preserve"> and </w:t>
      </w:r>
      <w:hyperlink r:id="rId13" w:history="1">
        <w:r w:rsidRPr="006F4AEA">
          <w:rPr>
            <w:rStyle w:val="Hyperlink"/>
          </w:rPr>
          <w:t>applicable standards</w:t>
        </w:r>
      </w:hyperlink>
      <w:r w:rsidRPr="006F4AEA">
        <w:t>.</w:t>
      </w:r>
    </w:p>
    <w:p w14:paraId="0E9CB784" w14:textId="6C76C7F1" w:rsidR="00A1219F" w:rsidRDefault="006F4AEA" w:rsidP="006F4AEA">
      <w:pPr>
        <w:pStyle w:val="BodyText"/>
        <w:ind w:left="-567" w:right="-568"/>
      </w:pPr>
      <w:r w:rsidRPr="006F4AEA">
        <w:t xml:space="preserve">This checklist should be used in conjunction with relevant procurement and briefing documentation required by the ICT Category Management team.  If you need assistance you can contact the </w:t>
      </w:r>
      <w:hyperlink r:id="rId14" w:history="1">
        <w:r w:rsidRPr="006F4AEA">
          <w:rPr>
            <w:rStyle w:val="Hyperlink"/>
          </w:rPr>
          <w:t>Licensing Sub-Category Manager</w:t>
        </w:r>
      </w:hyperlink>
      <w:r w:rsidRPr="006F4AEA">
        <w:t>.  If you need assistance with the licence terms, contact Legal Services.</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89"/>
        <w:gridCol w:w="709"/>
        <w:gridCol w:w="708"/>
      </w:tblGrid>
      <w:tr w:rsidR="006F4AEA" w:rsidRPr="006F5044" w14:paraId="6598C372" w14:textId="77777777" w:rsidTr="001E165D">
        <w:trPr>
          <w:trHeight w:val="340"/>
          <w:tblHeader/>
        </w:trPr>
        <w:tc>
          <w:tcPr>
            <w:tcW w:w="567" w:type="dxa"/>
            <w:tcBorders>
              <w:bottom w:val="single" w:sz="4" w:space="0" w:color="auto"/>
            </w:tcBorders>
            <w:shd w:val="clear" w:color="auto" w:fill="51247A" w:themeFill="accent1"/>
          </w:tcPr>
          <w:p w14:paraId="2F6161BA" w14:textId="77777777" w:rsidR="006F4AEA" w:rsidRPr="002B503C" w:rsidRDefault="006F4AEA" w:rsidP="00BA7CAE">
            <w:pPr>
              <w:pStyle w:val="TableSubHeading"/>
              <w:keepNext w:val="0"/>
              <w:rPr>
                <w:rFonts w:ascii="Arial" w:hAnsi="Arial" w:cs="Arial"/>
                <w:bCs/>
                <w:color w:val="FFFFFF" w:themeColor="background1"/>
                <w:szCs w:val="20"/>
              </w:rPr>
            </w:pPr>
            <w:r w:rsidRPr="002B503C">
              <w:rPr>
                <w:rFonts w:ascii="Arial" w:hAnsi="Arial" w:cs="Arial"/>
                <w:color w:val="FFFFFF" w:themeColor="background1"/>
                <w:szCs w:val="20"/>
              </w:rPr>
              <w:t>No.</w:t>
            </w:r>
          </w:p>
        </w:tc>
        <w:tc>
          <w:tcPr>
            <w:tcW w:w="8789" w:type="dxa"/>
            <w:tcBorders>
              <w:bottom w:val="single" w:sz="4" w:space="0" w:color="auto"/>
            </w:tcBorders>
            <w:shd w:val="clear" w:color="auto" w:fill="51247A" w:themeFill="accent1"/>
          </w:tcPr>
          <w:p w14:paraId="45EEF656" w14:textId="77777777" w:rsidR="006F4AEA" w:rsidRPr="002B503C" w:rsidRDefault="006F4AEA" w:rsidP="00BA7CAE">
            <w:pPr>
              <w:pStyle w:val="TableSubHeading"/>
              <w:keepNext w:val="0"/>
              <w:rPr>
                <w:rFonts w:ascii="Arial" w:hAnsi="Arial" w:cs="Arial"/>
                <w:bCs/>
                <w:color w:val="FFFFFF" w:themeColor="background1"/>
                <w:szCs w:val="20"/>
              </w:rPr>
            </w:pPr>
            <w:r>
              <w:rPr>
                <w:rFonts w:ascii="Arial" w:hAnsi="Arial" w:cs="Arial"/>
                <w:color w:val="FFFFFF" w:themeColor="background1"/>
                <w:szCs w:val="20"/>
              </w:rPr>
              <w:t>Issue</w:t>
            </w:r>
          </w:p>
        </w:tc>
        <w:tc>
          <w:tcPr>
            <w:tcW w:w="709" w:type="dxa"/>
            <w:tcBorders>
              <w:bottom w:val="single" w:sz="4" w:space="0" w:color="auto"/>
            </w:tcBorders>
            <w:shd w:val="clear" w:color="auto" w:fill="51247A" w:themeFill="accent1"/>
          </w:tcPr>
          <w:p w14:paraId="7B6D0BF1" w14:textId="77777777" w:rsidR="006F4AEA" w:rsidRPr="005676D9" w:rsidRDefault="006F4AEA" w:rsidP="00BA7CAE">
            <w:pPr>
              <w:pStyle w:val="TableSubHeading"/>
              <w:keepNext w:val="0"/>
              <w:jc w:val="center"/>
              <w:rPr>
                <w:rFonts w:ascii="Arial" w:hAnsi="Arial" w:cs="Arial"/>
                <w:b w:val="0"/>
                <w:bCs/>
                <w:color w:val="FFFFFF" w:themeColor="background1"/>
                <w:szCs w:val="20"/>
              </w:rPr>
            </w:pPr>
            <w:r w:rsidRPr="005676D9">
              <w:rPr>
                <w:rFonts w:ascii="Arial" w:hAnsi="Arial" w:cs="Arial"/>
                <w:color w:val="FFFFFF" w:themeColor="background1"/>
                <w:szCs w:val="20"/>
              </w:rPr>
              <w:t>Yes</w:t>
            </w:r>
          </w:p>
        </w:tc>
        <w:tc>
          <w:tcPr>
            <w:tcW w:w="708" w:type="dxa"/>
            <w:tcBorders>
              <w:bottom w:val="single" w:sz="4" w:space="0" w:color="auto"/>
            </w:tcBorders>
            <w:shd w:val="clear" w:color="auto" w:fill="51247A" w:themeFill="accent1"/>
          </w:tcPr>
          <w:p w14:paraId="2170206D" w14:textId="77777777" w:rsidR="006F4AEA" w:rsidRPr="005676D9" w:rsidRDefault="006F4AEA" w:rsidP="00BA7CAE">
            <w:pPr>
              <w:pStyle w:val="TableSubHeading"/>
              <w:keepNext w:val="0"/>
              <w:jc w:val="center"/>
              <w:rPr>
                <w:rFonts w:ascii="Arial" w:hAnsi="Arial" w:cs="Arial"/>
                <w:color w:val="FFFFFF" w:themeColor="background1"/>
                <w:szCs w:val="20"/>
              </w:rPr>
            </w:pPr>
            <w:r w:rsidRPr="006F5044">
              <w:rPr>
                <w:rFonts w:ascii="Arial" w:hAnsi="Arial" w:cs="Arial"/>
                <w:color w:val="FFFFFF" w:themeColor="background1"/>
                <w:szCs w:val="20"/>
              </w:rPr>
              <w:t>No</w:t>
            </w:r>
          </w:p>
        </w:tc>
      </w:tr>
      <w:tr w:rsidR="006F4AEA" w:rsidRPr="006F5044" w14:paraId="52606EA9" w14:textId="77777777" w:rsidTr="001E165D">
        <w:trPr>
          <w:trHeight w:val="397"/>
        </w:trPr>
        <w:tc>
          <w:tcPr>
            <w:tcW w:w="567" w:type="dxa"/>
            <w:tcBorders>
              <w:bottom w:val="nil"/>
            </w:tcBorders>
            <w:shd w:val="clear" w:color="auto" w:fill="FFFFFF" w:themeFill="background1"/>
          </w:tcPr>
          <w:p w14:paraId="308EE20E" w14:textId="3695E5F3" w:rsidR="006F4AEA" w:rsidRPr="006F4AEA" w:rsidRDefault="001E165D" w:rsidP="001E165D">
            <w:pPr>
              <w:pStyle w:val="TableText"/>
              <w:ind w:left="0"/>
              <w:rPr>
                <w:b/>
                <w:color w:val="51247A" w:themeColor="accent1"/>
              </w:rPr>
            </w:pPr>
            <w:r>
              <w:rPr>
                <w:b/>
                <w:color w:val="51247A" w:themeColor="accent1"/>
              </w:rPr>
              <w:t>1</w:t>
            </w:r>
          </w:p>
        </w:tc>
        <w:tc>
          <w:tcPr>
            <w:tcW w:w="8789" w:type="dxa"/>
            <w:tcBorders>
              <w:bottom w:val="nil"/>
            </w:tcBorders>
            <w:shd w:val="clear" w:color="auto" w:fill="FFFFFF" w:themeFill="background1"/>
          </w:tcPr>
          <w:p w14:paraId="7482ED4D" w14:textId="77777777" w:rsidR="006F4AEA" w:rsidRPr="002B503C" w:rsidRDefault="006F4AEA" w:rsidP="00441662">
            <w:pPr>
              <w:pStyle w:val="TableText"/>
              <w:spacing w:before="0" w:after="0"/>
              <w:ind w:left="0"/>
              <w:rPr>
                <w:b/>
              </w:rPr>
            </w:pPr>
            <w:r w:rsidRPr="006F4AEA">
              <w:rPr>
                <w:rStyle w:val="Hyperlink"/>
                <w:rFonts w:ascii="Arial" w:hAnsi="Arial" w:cs="Arial"/>
                <w:b/>
                <w:color w:val="51247A" w:themeColor="accent1"/>
                <w:szCs w:val="20"/>
              </w:rPr>
              <w:t>USE:</w:t>
            </w:r>
            <w:r w:rsidRPr="006F4AEA">
              <w:rPr>
                <w:rStyle w:val="Hyperlink"/>
                <w:color w:val="51247A" w:themeColor="accent1"/>
                <w:u w:val="none"/>
              </w:rPr>
              <w:t xml:space="preserve"> </w:t>
            </w:r>
            <w:r>
              <w:rPr>
                <w:b/>
              </w:rPr>
              <w:t xml:space="preserve">Do the terms allow UQ to </w:t>
            </w:r>
            <w:r w:rsidRPr="0039535E">
              <w:rPr>
                <w:b/>
              </w:rPr>
              <w:t xml:space="preserve">use the </w:t>
            </w:r>
            <w:r>
              <w:rPr>
                <w:b/>
              </w:rPr>
              <w:t xml:space="preserve">licensed material </w:t>
            </w:r>
            <w:r w:rsidRPr="0039535E">
              <w:rPr>
                <w:b/>
              </w:rPr>
              <w:t>for its intended purpose</w:t>
            </w:r>
            <w:r>
              <w:rPr>
                <w:b/>
              </w:rPr>
              <w:t xml:space="preserve">?  </w:t>
            </w:r>
            <w:r>
              <w:rPr>
                <w:i/>
              </w:rPr>
              <w:t xml:space="preserve">Consider the </w:t>
            </w:r>
            <w:r w:rsidRPr="003C55A9">
              <w:rPr>
                <w:i/>
              </w:rPr>
              <w:t>following</w:t>
            </w:r>
            <w:r>
              <w:rPr>
                <w:i/>
              </w:rPr>
              <w:t>:</w:t>
            </w:r>
          </w:p>
        </w:tc>
        <w:tc>
          <w:tcPr>
            <w:tcW w:w="709" w:type="dxa"/>
            <w:tcBorders>
              <w:bottom w:val="nil"/>
            </w:tcBorders>
          </w:tcPr>
          <w:p w14:paraId="5DD6A858" w14:textId="77777777" w:rsidR="006F4AEA" w:rsidRPr="005676D9" w:rsidRDefault="00A565A1" w:rsidP="00BA7CAE">
            <w:pPr>
              <w:spacing w:after="120"/>
              <w:jc w:val="center"/>
              <w:rPr>
                <w:sz w:val="28"/>
                <w:szCs w:val="28"/>
              </w:rPr>
            </w:pPr>
            <w:sdt>
              <w:sdtPr>
                <w:rPr>
                  <w:sz w:val="28"/>
                  <w:szCs w:val="28"/>
                </w:rPr>
                <w:id w:val="228580130"/>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c>
          <w:tcPr>
            <w:tcW w:w="708" w:type="dxa"/>
            <w:tcBorders>
              <w:bottom w:val="nil"/>
            </w:tcBorders>
          </w:tcPr>
          <w:p w14:paraId="0F051E19" w14:textId="77777777" w:rsidR="006F4AEA" w:rsidRPr="006F5044" w:rsidRDefault="00A565A1" w:rsidP="00BA7CAE">
            <w:pPr>
              <w:spacing w:after="120"/>
              <w:jc w:val="center"/>
              <w:rPr>
                <w:sz w:val="28"/>
                <w:szCs w:val="28"/>
              </w:rPr>
            </w:pPr>
            <w:sdt>
              <w:sdtPr>
                <w:rPr>
                  <w:sz w:val="28"/>
                  <w:szCs w:val="28"/>
                </w:rPr>
                <w:id w:val="1628975925"/>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r>
      <w:tr w:rsidR="006F4AEA" w:rsidRPr="006F5044" w14:paraId="24DD794E" w14:textId="77777777" w:rsidTr="001E165D">
        <w:tc>
          <w:tcPr>
            <w:tcW w:w="567" w:type="dxa"/>
            <w:tcBorders>
              <w:top w:val="nil"/>
              <w:bottom w:val="single" w:sz="4" w:space="0" w:color="auto"/>
            </w:tcBorders>
            <w:shd w:val="clear" w:color="auto" w:fill="auto"/>
          </w:tcPr>
          <w:p w14:paraId="58823178" w14:textId="77777777" w:rsidR="006F4AEA" w:rsidRPr="006F4AEA" w:rsidRDefault="006F4AEA" w:rsidP="006F4AEA">
            <w:pPr>
              <w:pStyle w:val="TableText"/>
              <w:ind w:left="0"/>
              <w:rPr>
                <w:b/>
                <w:color w:val="51247A" w:themeColor="accent1"/>
              </w:rPr>
            </w:pPr>
          </w:p>
        </w:tc>
        <w:tc>
          <w:tcPr>
            <w:tcW w:w="8789" w:type="dxa"/>
            <w:tcBorders>
              <w:top w:val="nil"/>
              <w:bottom w:val="single" w:sz="4" w:space="0" w:color="auto"/>
            </w:tcBorders>
            <w:shd w:val="clear" w:color="auto" w:fill="auto"/>
          </w:tcPr>
          <w:tbl>
            <w:tblPr>
              <w:tblStyle w:val="TableGrid"/>
              <w:tblW w:w="8747" w:type="dxa"/>
              <w:tblLayout w:type="fixed"/>
              <w:tblLook w:val="04A0" w:firstRow="1" w:lastRow="0" w:firstColumn="1" w:lastColumn="0" w:noHBand="0" w:noVBand="1"/>
            </w:tblPr>
            <w:tblGrid>
              <w:gridCol w:w="3750"/>
              <w:gridCol w:w="4997"/>
            </w:tblGrid>
            <w:tr w:rsidR="006F4AEA" w14:paraId="351EECB8" w14:textId="77777777" w:rsidTr="001E165D">
              <w:trPr>
                <w:trHeight w:val="1134"/>
              </w:trPr>
              <w:tc>
                <w:tcPr>
                  <w:tcW w:w="3750" w:type="dxa"/>
                </w:tcPr>
                <w:p w14:paraId="15B0ADE6" w14:textId="77777777" w:rsidR="006F4AEA" w:rsidRPr="003C55A9" w:rsidRDefault="006F4AEA" w:rsidP="00441662">
                  <w:pPr>
                    <w:pStyle w:val="TableText"/>
                    <w:numPr>
                      <w:ilvl w:val="0"/>
                      <w:numId w:val="19"/>
                    </w:numPr>
                    <w:spacing w:before="0" w:after="0"/>
                    <w:rPr>
                      <w:i/>
                    </w:rPr>
                  </w:pPr>
                  <w:r>
                    <w:rPr>
                      <w:i/>
                    </w:rPr>
                    <w:t>Users (e.g. employees, contractors, students, visiting academics etc.)</w:t>
                  </w:r>
                </w:p>
                <w:p w14:paraId="360C1A36" w14:textId="77777777" w:rsidR="006F4AEA" w:rsidRDefault="006F4AEA" w:rsidP="00441662">
                  <w:pPr>
                    <w:pStyle w:val="TableText"/>
                    <w:numPr>
                      <w:ilvl w:val="0"/>
                      <w:numId w:val="19"/>
                    </w:numPr>
                    <w:spacing w:before="0" w:after="0"/>
                    <w:rPr>
                      <w:i/>
                    </w:rPr>
                  </w:pPr>
                  <w:r>
                    <w:rPr>
                      <w:i/>
                    </w:rPr>
                    <w:t>Set numbers vs unlimited</w:t>
                  </w:r>
                </w:p>
                <w:p w14:paraId="0956524D" w14:textId="77777777" w:rsidR="006F4AEA" w:rsidRDefault="006F4AEA" w:rsidP="00441662">
                  <w:pPr>
                    <w:pStyle w:val="TableText"/>
                    <w:numPr>
                      <w:ilvl w:val="0"/>
                      <w:numId w:val="19"/>
                    </w:numPr>
                    <w:spacing w:after="0"/>
                    <w:rPr>
                      <w:i/>
                    </w:rPr>
                  </w:pPr>
                  <w:r>
                    <w:rPr>
                      <w:i/>
                    </w:rPr>
                    <w:t xml:space="preserve">Permitted </w:t>
                  </w:r>
                  <w:r w:rsidRPr="003C55A9">
                    <w:rPr>
                      <w:i/>
                    </w:rPr>
                    <w:t>deployment</w:t>
                  </w:r>
                  <w:r>
                    <w:rPr>
                      <w:i/>
                    </w:rPr>
                    <w:t xml:space="preserve"> / devices</w:t>
                  </w:r>
                </w:p>
              </w:tc>
              <w:tc>
                <w:tcPr>
                  <w:tcW w:w="4997" w:type="dxa"/>
                </w:tcPr>
                <w:p w14:paraId="4FA00ECA" w14:textId="77777777" w:rsidR="006F4AEA" w:rsidRDefault="006F4AEA" w:rsidP="00441662">
                  <w:pPr>
                    <w:pStyle w:val="TableText"/>
                    <w:numPr>
                      <w:ilvl w:val="0"/>
                      <w:numId w:val="19"/>
                    </w:numPr>
                    <w:spacing w:before="0"/>
                    <w:rPr>
                      <w:i/>
                    </w:rPr>
                  </w:pPr>
                  <w:r>
                    <w:rPr>
                      <w:i/>
                    </w:rPr>
                    <w:t>L</w:t>
                  </w:r>
                  <w:r w:rsidRPr="003C55A9">
                    <w:rPr>
                      <w:i/>
                    </w:rPr>
                    <w:t>ocation</w:t>
                  </w:r>
                  <w:r>
                    <w:rPr>
                      <w:i/>
                    </w:rPr>
                    <w:t>s for use (country / campus / home)</w:t>
                  </w:r>
                </w:p>
                <w:p w14:paraId="4A644BC6" w14:textId="77777777" w:rsidR="006F4AEA" w:rsidRPr="003C55A9" w:rsidRDefault="006F4AEA" w:rsidP="00441662">
                  <w:pPr>
                    <w:pStyle w:val="TableText"/>
                    <w:numPr>
                      <w:ilvl w:val="0"/>
                      <w:numId w:val="19"/>
                    </w:numPr>
                    <w:spacing w:before="0" w:after="0"/>
                    <w:rPr>
                      <w:i/>
                    </w:rPr>
                  </w:pPr>
                  <w:r>
                    <w:rPr>
                      <w:i/>
                    </w:rPr>
                    <w:t>Commercial vs non-commercial / teaching, research, consultancy</w:t>
                  </w:r>
                </w:p>
                <w:p w14:paraId="04BBD675" w14:textId="77777777" w:rsidR="006F4AEA" w:rsidRDefault="006F4AEA" w:rsidP="00441662">
                  <w:pPr>
                    <w:pStyle w:val="TableText"/>
                    <w:numPr>
                      <w:ilvl w:val="0"/>
                      <w:numId w:val="19"/>
                    </w:numPr>
                    <w:spacing w:after="0"/>
                    <w:rPr>
                      <w:i/>
                    </w:rPr>
                  </w:pPr>
                  <w:r>
                    <w:rPr>
                      <w:i/>
                    </w:rPr>
                    <w:t>Restrictions on copies, modifications &amp;/or outputs</w:t>
                  </w:r>
                </w:p>
              </w:tc>
            </w:tr>
          </w:tbl>
          <w:p w14:paraId="7E6C1ABE" w14:textId="77777777" w:rsidR="006F4AEA" w:rsidRPr="003C55A9" w:rsidRDefault="006F4AEA" w:rsidP="006F4AEA">
            <w:pPr>
              <w:pStyle w:val="TableText"/>
              <w:rPr>
                <w:i/>
              </w:rPr>
            </w:pPr>
          </w:p>
        </w:tc>
        <w:tc>
          <w:tcPr>
            <w:tcW w:w="709" w:type="dxa"/>
            <w:tcBorders>
              <w:top w:val="nil"/>
              <w:bottom w:val="single" w:sz="4" w:space="0" w:color="auto"/>
            </w:tcBorders>
            <w:shd w:val="clear" w:color="auto" w:fill="auto"/>
          </w:tcPr>
          <w:p w14:paraId="144AEB4E" w14:textId="77777777" w:rsidR="006F4AEA" w:rsidRPr="006F5044" w:rsidRDefault="006F4AEA" w:rsidP="00BA7CAE">
            <w:pPr>
              <w:pStyle w:val="TableSubHeading"/>
              <w:keepNext w:val="0"/>
              <w:jc w:val="center"/>
              <w:rPr>
                <w:rFonts w:ascii="Arial" w:hAnsi="Arial" w:cs="Arial"/>
                <w:b w:val="0"/>
                <w:sz w:val="28"/>
                <w:szCs w:val="28"/>
              </w:rPr>
            </w:pPr>
          </w:p>
        </w:tc>
        <w:tc>
          <w:tcPr>
            <w:tcW w:w="708" w:type="dxa"/>
            <w:tcBorders>
              <w:top w:val="nil"/>
              <w:bottom w:val="single" w:sz="4" w:space="0" w:color="auto"/>
            </w:tcBorders>
            <w:shd w:val="clear" w:color="auto" w:fill="auto"/>
          </w:tcPr>
          <w:p w14:paraId="1931C19E" w14:textId="77777777" w:rsidR="006F4AEA" w:rsidRPr="006F5044" w:rsidRDefault="006F4AEA" w:rsidP="00BA7CAE">
            <w:pPr>
              <w:pStyle w:val="TableSubHeading"/>
              <w:keepNext w:val="0"/>
              <w:jc w:val="center"/>
              <w:rPr>
                <w:rFonts w:ascii="Arial" w:hAnsi="Arial" w:cs="Arial"/>
                <w:b w:val="0"/>
                <w:sz w:val="28"/>
                <w:szCs w:val="28"/>
              </w:rPr>
            </w:pPr>
          </w:p>
        </w:tc>
      </w:tr>
      <w:tr w:rsidR="006F4AEA" w:rsidRPr="006F5044" w14:paraId="54BC0C16" w14:textId="77777777" w:rsidTr="001E165D">
        <w:trPr>
          <w:trHeight w:val="567"/>
        </w:trPr>
        <w:tc>
          <w:tcPr>
            <w:tcW w:w="567" w:type="dxa"/>
            <w:tcBorders>
              <w:bottom w:val="nil"/>
            </w:tcBorders>
            <w:shd w:val="clear" w:color="auto" w:fill="FFFFFF" w:themeFill="background1"/>
          </w:tcPr>
          <w:p w14:paraId="5F8373EF" w14:textId="300DAA0C" w:rsidR="006F4AEA" w:rsidRPr="006F4AEA" w:rsidRDefault="006F4AEA" w:rsidP="001E165D">
            <w:pPr>
              <w:pStyle w:val="TableText"/>
              <w:ind w:left="0"/>
              <w:rPr>
                <w:b/>
                <w:color w:val="51247A" w:themeColor="accent1"/>
              </w:rPr>
            </w:pPr>
            <w:r w:rsidRPr="006F4AEA">
              <w:rPr>
                <w:b/>
                <w:color w:val="51247A" w:themeColor="accent1"/>
              </w:rPr>
              <w:t>2</w:t>
            </w:r>
          </w:p>
        </w:tc>
        <w:tc>
          <w:tcPr>
            <w:tcW w:w="8789" w:type="dxa"/>
            <w:tcBorders>
              <w:bottom w:val="nil"/>
            </w:tcBorders>
            <w:shd w:val="clear" w:color="auto" w:fill="FFFFFF" w:themeFill="background1"/>
          </w:tcPr>
          <w:p w14:paraId="5103866B" w14:textId="77777777" w:rsidR="006F4AEA" w:rsidRPr="002B503C" w:rsidRDefault="006F4AEA" w:rsidP="00441662">
            <w:pPr>
              <w:pStyle w:val="TableText"/>
              <w:spacing w:before="0" w:after="0"/>
              <w:ind w:left="0"/>
              <w:rPr>
                <w:b/>
              </w:rPr>
            </w:pPr>
            <w:r w:rsidRPr="006F4AEA">
              <w:rPr>
                <w:rStyle w:val="Hyperlink"/>
                <w:rFonts w:ascii="Arial" w:hAnsi="Arial" w:cs="Arial"/>
                <w:b/>
                <w:color w:val="51247A" w:themeColor="accent1"/>
                <w:szCs w:val="20"/>
              </w:rPr>
              <w:t>DURATION</w:t>
            </w:r>
            <w:r w:rsidRPr="006F4AEA">
              <w:rPr>
                <w:rStyle w:val="Hyperlink"/>
                <w:color w:val="51247A" w:themeColor="accent1"/>
              </w:rPr>
              <w:t>:</w:t>
            </w:r>
            <w:r w:rsidRPr="006F4AEA">
              <w:rPr>
                <w:rStyle w:val="Hyperlink"/>
                <w:color w:val="51247A" w:themeColor="accent1"/>
                <w:u w:val="none"/>
              </w:rPr>
              <w:t xml:space="preserve"> </w:t>
            </w:r>
            <w:r>
              <w:rPr>
                <w:b/>
              </w:rPr>
              <w:t xml:space="preserve">Are the terms governing licence </w:t>
            </w:r>
            <w:r w:rsidRPr="00AD4A76">
              <w:rPr>
                <w:b/>
              </w:rPr>
              <w:t xml:space="preserve">duration </w:t>
            </w:r>
            <w:r>
              <w:rPr>
                <w:b/>
              </w:rPr>
              <w:t xml:space="preserve">and renewal </w:t>
            </w:r>
            <w:r w:rsidRPr="00AD4A76">
              <w:rPr>
                <w:b/>
              </w:rPr>
              <w:t>satisfactory</w:t>
            </w:r>
            <w:r>
              <w:rPr>
                <w:b/>
              </w:rPr>
              <w:t xml:space="preserve">?  </w:t>
            </w:r>
            <w:r>
              <w:rPr>
                <w:i/>
              </w:rPr>
              <w:t>Consider s</w:t>
            </w:r>
            <w:r w:rsidRPr="00AD4A76">
              <w:rPr>
                <w:i/>
              </w:rPr>
              <w:t>tart and end dates</w:t>
            </w:r>
            <w:r>
              <w:rPr>
                <w:i/>
              </w:rPr>
              <w:t>, notice periods for exit or renewal and auto-renewals.</w:t>
            </w:r>
          </w:p>
        </w:tc>
        <w:tc>
          <w:tcPr>
            <w:tcW w:w="709" w:type="dxa"/>
            <w:tcBorders>
              <w:bottom w:val="nil"/>
            </w:tcBorders>
          </w:tcPr>
          <w:p w14:paraId="0F48949C" w14:textId="77777777" w:rsidR="006F4AEA" w:rsidRPr="006F5044" w:rsidRDefault="00A565A1" w:rsidP="00BA7CAE">
            <w:pPr>
              <w:spacing w:before="40" w:after="40"/>
              <w:jc w:val="center"/>
              <w:rPr>
                <w:sz w:val="28"/>
                <w:szCs w:val="28"/>
              </w:rPr>
            </w:pPr>
            <w:sdt>
              <w:sdtPr>
                <w:rPr>
                  <w:sz w:val="28"/>
                  <w:szCs w:val="28"/>
                </w:rPr>
                <w:id w:val="1729026574"/>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c>
          <w:tcPr>
            <w:tcW w:w="708" w:type="dxa"/>
            <w:tcBorders>
              <w:bottom w:val="nil"/>
            </w:tcBorders>
          </w:tcPr>
          <w:p w14:paraId="6E79E110" w14:textId="77777777" w:rsidR="006F4AEA" w:rsidRPr="006F5044" w:rsidRDefault="00A565A1" w:rsidP="00BA7CAE">
            <w:pPr>
              <w:spacing w:before="40" w:after="40"/>
              <w:jc w:val="center"/>
              <w:rPr>
                <w:sz w:val="28"/>
                <w:szCs w:val="28"/>
              </w:rPr>
            </w:pPr>
            <w:sdt>
              <w:sdtPr>
                <w:rPr>
                  <w:sz w:val="28"/>
                  <w:szCs w:val="28"/>
                </w:rPr>
                <w:id w:val="-872920591"/>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r>
      <w:tr w:rsidR="006F4AEA" w:rsidRPr="006F5044" w14:paraId="465C2DB5" w14:textId="77777777" w:rsidTr="001E165D">
        <w:tc>
          <w:tcPr>
            <w:tcW w:w="567" w:type="dxa"/>
            <w:tcBorders>
              <w:bottom w:val="nil"/>
            </w:tcBorders>
            <w:shd w:val="clear" w:color="auto" w:fill="FFFFFF" w:themeFill="background1"/>
          </w:tcPr>
          <w:p w14:paraId="4D2889C6" w14:textId="5515C9A2" w:rsidR="006F4AEA" w:rsidRPr="006F4AEA" w:rsidRDefault="001E165D" w:rsidP="001E165D">
            <w:pPr>
              <w:pStyle w:val="TableText"/>
              <w:ind w:left="0"/>
              <w:rPr>
                <w:b/>
                <w:color w:val="51247A" w:themeColor="accent1"/>
              </w:rPr>
            </w:pPr>
            <w:r>
              <w:rPr>
                <w:b/>
                <w:color w:val="51247A" w:themeColor="accent1"/>
              </w:rPr>
              <w:t>3</w:t>
            </w:r>
          </w:p>
        </w:tc>
        <w:tc>
          <w:tcPr>
            <w:tcW w:w="8789" w:type="dxa"/>
            <w:tcBorders>
              <w:bottom w:val="nil"/>
            </w:tcBorders>
            <w:shd w:val="clear" w:color="auto" w:fill="FFFFFF" w:themeFill="background1"/>
          </w:tcPr>
          <w:p w14:paraId="273A4C58" w14:textId="77777777" w:rsidR="006F4AEA" w:rsidRPr="002B503C" w:rsidRDefault="006F4AEA" w:rsidP="00441662">
            <w:pPr>
              <w:pStyle w:val="TableText"/>
              <w:spacing w:before="0" w:after="0"/>
              <w:ind w:left="0"/>
              <w:rPr>
                <w:b/>
              </w:rPr>
            </w:pPr>
            <w:r w:rsidRPr="006F4AEA">
              <w:rPr>
                <w:rStyle w:val="Hyperlink"/>
                <w:rFonts w:ascii="Arial" w:hAnsi="Arial" w:cs="Arial"/>
                <w:b/>
                <w:color w:val="51247A" w:themeColor="accent1"/>
                <w:szCs w:val="20"/>
              </w:rPr>
              <w:t>PRICE</w:t>
            </w:r>
            <w:r w:rsidRPr="006F4AEA">
              <w:rPr>
                <w:rStyle w:val="Hyperlink"/>
                <w:color w:val="51247A" w:themeColor="accent1"/>
              </w:rPr>
              <w:t>:</w:t>
            </w:r>
            <w:r w:rsidRPr="006F4AEA">
              <w:rPr>
                <w:rStyle w:val="Hyperlink"/>
                <w:color w:val="51247A" w:themeColor="accent1"/>
                <w:u w:val="none"/>
              </w:rPr>
              <w:t xml:space="preserve"> </w:t>
            </w:r>
            <w:r>
              <w:rPr>
                <w:b/>
              </w:rPr>
              <w:t xml:space="preserve">Are you satisfied the pricing terms are clear and acceptable? </w:t>
            </w:r>
            <w:r>
              <w:rPr>
                <w:i/>
              </w:rPr>
              <w:t>C</w:t>
            </w:r>
            <w:r w:rsidRPr="00F37BC4">
              <w:rPr>
                <w:i/>
              </w:rPr>
              <w:t xml:space="preserve">onsider how </w:t>
            </w:r>
            <w:r>
              <w:rPr>
                <w:i/>
              </w:rPr>
              <w:t>fees are calculated</w:t>
            </w:r>
            <w:r w:rsidRPr="00F37BC4">
              <w:rPr>
                <w:i/>
              </w:rPr>
              <w:t xml:space="preserve">, </w:t>
            </w:r>
            <w:r>
              <w:rPr>
                <w:i/>
              </w:rPr>
              <w:t>changes to fees, currency (e.g. USD, AUD etc.)</w:t>
            </w:r>
            <w:r w:rsidRPr="00F37BC4">
              <w:rPr>
                <w:i/>
              </w:rPr>
              <w:t xml:space="preserve">, due </w:t>
            </w:r>
            <w:r>
              <w:rPr>
                <w:i/>
              </w:rPr>
              <w:t xml:space="preserve">dates </w:t>
            </w:r>
            <w:r w:rsidRPr="00F37BC4">
              <w:rPr>
                <w:i/>
              </w:rPr>
              <w:t>and additional fee</w:t>
            </w:r>
            <w:r>
              <w:rPr>
                <w:i/>
              </w:rPr>
              <w:t xml:space="preserve"> risks</w:t>
            </w:r>
            <w:r w:rsidRPr="00F37BC4">
              <w:rPr>
                <w:i/>
              </w:rPr>
              <w:t>.</w:t>
            </w:r>
          </w:p>
        </w:tc>
        <w:tc>
          <w:tcPr>
            <w:tcW w:w="709" w:type="dxa"/>
            <w:tcBorders>
              <w:bottom w:val="nil"/>
            </w:tcBorders>
          </w:tcPr>
          <w:p w14:paraId="028F9687" w14:textId="77777777" w:rsidR="006F4AEA" w:rsidRPr="006F5044" w:rsidRDefault="00A565A1" w:rsidP="00BA7CAE">
            <w:pPr>
              <w:spacing w:before="40" w:after="40"/>
              <w:jc w:val="center"/>
              <w:rPr>
                <w:sz w:val="28"/>
                <w:szCs w:val="28"/>
              </w:rPr>
            </w:pPr>
            <w:sdt>
              <w:sdtPr>
                <w:rPr>
                  <w:sz w:val="28"/>
                  <w:szCs w:val="28"/>
                </w:rPr>
                <w:id w:val="-1408064760"/>
                <w14:checkbox>
                  <w14:checked w14:val="0"/>
                  <w14:checkedState w14:val="00FC" w14:font="Wingdings"/>
                  <w14:uncheckedState w14:val="2610" w14:font="MS Gothic"/>
                </w14:checkbox>
              </w:sdtPr>
              <w:sdtEndPr/>
              <w:sdtContent>
                <w:r w:rsidR="006F4AEA" w:rsidRPr="006F5044">
                  <w:rPr>
                    <w:rFonts w:ascii="Segoe UI Symbol" w:hAnsi="Segoe UI Symbol" w:cs="Segoe UI Symbol"/>
                    <w:sz w:val="28"/>
                    <w:szCs w:val="28"/>
                  </w:rPr>
                  <w:t>☐</w:t>
                </w:r>
              </w:sdtContent>
            </w:sdt>
          </w:p>
        </w:tc>
        <w:tc>
          <w:tcPr>
            <w:tcW w:w="708" w:type="dxa"/>
            <w:tcBorders>
              <w:bottom w:val="nil"/>
            </w:tcBorders>
          </w:tcPr>
          <w:p w14:paraId="598E6241" w14:textId="77777777" w:rsidR="006F4AEA" w:rsidRPr="006F5044" w:rsidRDefault="00A565A1" w:rsidP="00BA7CAE">
            <w:pPr>
              <w:spacing w:before="40" w:after="40"/>
              <w:jc w:val="center"/>
              <w:rPr>
                <w:sz w:val="28"/>
                <w:szCs w:val="28"/>
              </w:rPr>
            </w:pPr>
            <w:sdt>
              <w:sdtPr>
                <w:rPr>
                  <w:sz w:val="28"/>
                  <w:szCs w:val="28"/>
                </w:rPr>
                <w:id w:val="-2036877898"/>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r>
      <w:tr w:rsidR="006F4AEA" w:rsidRPr="006F5044" w14:paraId="395A9003" w14:textId="77777777" w:rsidTr="001E165D">
        <w:tc>
          <w:tcPr>
            <w:tcW w:w="567" w:type="dxa"/>
            <w:tcBorders>
              <w:bottom w:val="nil"/>
            </w:tcBorders>
            <w:shd w:val="clear" w:color="auto" w:fill="FFFFFF" w:themeFill="background1"/>
          </w:tcPr>
          <w:p w14:paraId="59525E48" w14:textId="303B77D5" w:rsidR="006F4AEA" w:rsidRPr="006F4AEA" w:rsidRDefault="001E165D" w:rsidP="001E165D">
            <w:pPr>
              <w:pStyle w:val="TableText"/>
              <w:ind w:left="0"/>
              <w:rPr>
                <w:b/>
                <w:color w:val="51247A" w:themeColor="accent1"/>
              </w:rPr>
            </w:pPr>
            <w:r>
              <w:rPr>
                <w:b/>
                <w:color w:val="51247A" w:themeColor="accent1"/>
              </w:rPr>
              <w:t>4</w:t>
            </w:r>
          </w:p>
        </w:tc>
        <w:tc>
          <w:tcPr>
            <w:tcW w:w="8789" w:type="dxa"/>
            <w:tcBorders>
              <w:bottom w:val="nil"/>
            </w:tcBorders>
            <w:shd w:val="clear" w:color="auto" w:fill="FFFFFF" w:themeFill="background1"/>
            <w:vAlign w:val="center"/>
          </w:tcPr>
          <w:p w14:paraId="47F7CEB7" w14:textId="77777777" w:rsidR="006F4AEA" w:rsidRPr="00E46E59" w:rsidRDefault="006F4AEA" w:rsidP="00441662">
            <w:pPr>
              <w:pStyle w:val="TableText"/>
              <w:spacing w:before="0" w:after="0"/>
              <w:ind w:left="0"/>
              <w:rPr>
                <w:i/>
              </w:rPr>
            </w:pPr>
            <w:r w:rsidRPr="006F4AEA">
              <w:rPr>
                <w:rStyle w:val="Hyperlink"/>
                <w:rFonts w:ascii="Arial" w:hAnsi="Arial" w:cs="Arial"/>
                <w:b/>
                <w:color w:val="51247A" w:themeColor="accent1"/>
                <w:szCs w:val="20"/>
              </w:rPr>
              <w:t>CLOUD SERVICES</w:t>
            </w:r>
            <w:r w:rsidRPr="006F4AEA">
              <w:rPr>
                <w:rStyle w:val="Hyperlink"/>
                <w:rFonts w:ascii="Arial" w:hAnsi="Arial" w:cs="Arial"/>
                <w:color w:val="51247A" w:themeColor="accent1"/>
              </w:rPr>
              <w:t>:</w:t>
            </w:r>
            <w:r w:rsidRPr="006F4AEA">
              <w:rPr>
                <w:b/>
                <w:color w:val="51247A" w:themeColor="accent1"/>
              </w:rPr>
              <w:t xml:space="preserve"> </w:t>
            </w:r>
            <w:r>
              <w:rPr>
                <w:b/>
              </w:rPr>
              <w:t xml:space="preserve">Does the licence include </w:t>
            </w:r>
            <w:r w:rsidRPr="008D48E5">
              <w:rPr>
                <w:b/>
              </w:rPr>
              <w:t>cloud services</w:t>
            </w:r>
            <w:r>
              <w:rPr>
                <w:b/>
              </w:rPr>
              <w:t xml:space="preserve">? </w:t>
            </w:r>
            <w:r>
              <w:rPr>
                <w:i/>
              </w:rPr>
              <w:t>I</w:t>
            </w:r>
            <w:r w:rsidRPr="0052254D">
              <w:rPr>
                <w:i/>
              </w:rPr>
              <w:t xml:space="preserve">ncludes </w:t>
            </w:r>
            <w:r>
              <w:rPr>
                <w:i/>
              </w:rPr>
              <w:t>online subscriptions</w:t>
            </w:r>
            <w:r w:rsidRPr="005676D9">
              <w:t>.</w:t>
            </w:r>
            <w:r>
              <w:t xml:space="preserve">  </w:t>
            </w:r>
            <w:r w:rsidRPr="00E46E59">
              <w:rPr>
                <w:i/>
              </w:rPr>
              <w:t>Consider the following:</w:t>
            </w:r>
          </w:p>
          <w:tbl>
            <w:tblPr>
              <w:tblStyle w:val="TableGrid"/>
              <w:tblW w:w="8747" w:type="dxa"/>
              <w:tblLayout w:type="fixed"/>
              <w:tblLook w:val="04A0" w:firstRow="1" w:lastRow="0" w:firstColumn="1" w:lastColumn="0" w:noHBand="0" w:noVBand="1"/>
            </w:tblPr>
            <w:tblGrid>
              <w:gridCol w:w="3750"/>
              <w:gridCol w:w="4997"/>
            </w:tblGrid>
            <w:tr w:rsidR="006F4AEA" w14:paraId="5195B12F" w14:textId="77777777" w:rsidTr="00441662">
              <w:tc>
                <w:tcPr>
                  <w:tcW w:w="3750" w:type="dxa"/>
                </w:tcPr>
                <w:p w14:paraId="08C2252A" w14:textId="77777777" w:rsidR="006F4AEA" w:rsidRPr="003C55A9" w:rsidRDefault="006F4AEA" w:rsidP="00441662">
                  <w:pPr>
                    <w:pStyle w:val="TableText"/>
                    <w:numPr>
                      <w:ilvl w:val="0"/>
                      <w:numId w:val="20"/>
                    </w:numPr>
                    <w:spacing w:before="0" w:after="0"/>
                    <w:rPr>
                      <w:i/>
                    </w:rPr>
                  </w:pPr>
                  <w:r w:rsidRPr="00AA74E5">
                    <w:rPr>
                      <w:i/>
                    </w:rPr>
                    <w:t>Information security measures</w:t>
                  </w:r>
                </w:p>
                <w:p w14:paraId="1B187834" w14:textId="77777777" w:rsidR="006F4AEA" w:rsidRDefault="006F4AEA" w:rsidP="00441662">
                  <w:pPr>
                    <w:pStyle w:val="TableText"/>
                    <w:numPr>
                      <w:ilvl w:val="0"/>
                      <w:numId w:val="20"/>
                    </w:numPr>
                    <w:spacing w:before="0" w:after="0"/>
                    <w:rPr>
                      <w:i/>
                    </w:rPr>
                  </w:pPr>
                  <w:r>
                    <w:rPr>
                      <w:i/>
                    </w:rPr>
                    <w:t>Incident response</w:t>
                  </w:r>
                </w:p>
              </w:tc>
              <w:tc>
                <w:tcPr>
                  <w:tcW w:w="4997" w:type="dxa"/>
                  <w:shd w:val="clear" w:color="auto" w:fill="auto"/>
                </w:tcPr>
                <w:p w14:paraId="14C8225C" w14:textId="77777777" w:rsidR="006F4AEA" w:rsidRDefault="006F4AEA" w:rsidP="00441662">
                  <w:pPr>
                    <w:pStyle w:val="TableText"/>
                    <w:numPr>
                      <w:ilvl w:val="0"/>
                      <w:numId w:val="20"/>
                    </w:numPr>
                    <w:spacing w:before="0" w:after="0"/>
                    <w:rPr>
                      <w:i/>
                    </w:rPr>
                  </w:pPr>
                  <w:r w:rsidRPr="00AA74E5">
                    <w:rPr>
                      <w:i/>
                    </w:rPr>
                    <w:t>Business continuity and data backup</w:t>
                  </w:r>
                </w:p>
                <w:p w14:paraId="5CDAD120" w14:textId="77777777" w:rsidR="006F4AEA" w:rsidRDefault="006F4AEA" w:rsidP="00441662">
                  <w:pPr>
                    <w:pStyle w:val="TableText"/>
                    <w:numPr>
                      <w:ilvl w:val="0"/>
                      <w:numId w:val="20"/>
                    </w:numPr>
                    <w:spacing w:before="0" w:after="0"/>
                    <w:rPr>
                      <w:i/>
                    </w:rPr>
                  </w:pPr>
                  <w:r>
                    <w:rPr>
                      <w:i/>
                    </w:rPr>
                    <w:t>D</w:t>
                  </w:r>
                  <w:r w:rsidRPr="00220DBA">
                    <w:rPr>
                      <w:i/>
                    </w:rPr>
                    <w:t xml:space="preserve">ata </w:t>
                  </w:r>
                  <w:r>
                    <w:rPr>
                      <w:i/>
                    </w:rPr>
                    <w:t>access and t</w:t>
                  </w:r>
                  <w:r w:rsidRPr="00220DBA">
                    <w:rPr>
                      <w:i/>
                    </w:rPr>
                    <w:t>ransition out</w:t>
                  </w:r>
                </w:p>
              </w:tc>
            </w:tr>
          </w:tbl>
          <w:p w14:paraId="76BB3BE0" w14:textId="77777777" w:rsidR="006F4AEA" w:rsidRDefault="006F4AEA" w:rsidP="006F4AEA">
            <w:pPr>
              <w:pStyle w:val="TableText"/>
            </w:pPr>
          </w:p>
        </w:tc>
        <w:tc>
          <w:tcPr>
            <w:tcW w:w="709" w:type="dxa"/>
            <w:tcBorders>
              <w:bottom w:val="nil"/>
            </w:tcBorders>
            <w:vAlign w:val="center"/>
          </w:tcPr>
          <w:p w14:paraId="07F4FE7C" w14:textId="77777777" w:rsidR="006F4AEA" w:rsidRPr="006F5044" w:rsidRDefault="00A565A1" w:rsidP="00BA7CAE">
            <w:pPr>
              <w:spacing w:before="40" w:after="40"/>
              <w:jc w:val="center"/>
              <w:rPr>
                <w:sz w:val="28"/>
                <w:szCs w:val="28"/>
              </w:rPr>
            </w:pPr>
            <w:sdt>
              <w:sdtPr>
                <w:rPr>
                  <w:sz w:val="28"/>
                  <w:szCs w:val="28"/>
                </w:rPr>
                <w:id w:val="-1043439470"/>
                <w14:checkbox>
                  <w14:checked w14:val="0"/>
                  <w14:checkedState w14:val="00FC" w14:font="Wingdings"/>
                  <w14:uncheckedState w14:val="2610" w14:font="MS Gothic"/>
                </w14:checkbox>
              </w:sdtPr>
              <w:sdtEndPr/>
              <w:sdtContent>
                <w:r w:rsidR="006F4AEA" w:rsidRPr="006F5044">
                  <w:rPr>
                    <w:rFonts w:ascii="Segoe UI Symbol" w:hAnsi="Segoe UI Symbol" w:cs="Segoe UI Symbol"/>
                    <w:sz w:val="28"/>
                    <w:szCs w:val="28"/>
                  </w:rPr>
                  <w:t>☐</w:t>
                </w:r>
              </w:sdtContent>
            </w:sdt>
          </w:p>
        </w:tc>
        <w:tc>
          <w:tcPr>
            <w:tcW w:w="708" w:type="dxa"/>
            <w:tcBorders>
              <w:bottom w:val="nil"/>
            </w:tcBorders>
            <w:vAlign w:val="center"/>
          </w:tcPr>
          <w:p w14:paraId="5CD38322" w14:textId="77777777" w:rsidR="006F4AEA" w:rsidRPr="006F5044" w:rsidRDefault="00A565A1" w:rsidP="00BA7CAE">
            <w:pPr>
              <w:spacing w:before="40" w:after="40"/>
              <w:jc w:val="center"/>
              <w:rPr>
                <w:sz w:val="28"/>
                <w:szCs w:val="28"/>
              </w:rPr>
            </w:pPr>
            <w:sdt>
              <w:sdtPr>
                <w:rPr>
                  <w:sz w:val="28"/>
                  <w:szCs w:val="28"/>
                </w:rPr>
                <w:id w:val="954056935"/>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r>
      <w:tr w:rsidR="006F4AEA" w:rsidRPr="006F5044" w14:paraId="4600E24E" w14:textId="77777777" w:rsidTr="001E165D">
        <w:tc>
          <w:tcPr>
            <w:tcW w:w="567" w:type="dxa"/>
            <w:tcBorders>
              <w:bottom w:val="nil"/>
            </w:tcBorders>
            <w:shd w:val="clear" w:color="auto" w:fill="FFFFFF" w:themeFill="background1"/>
          </w:tcPr>
          <w:p w14:paraId="625382B4" w14:textId="61D8238C" w:rsidR="006F4AEA" w:rsidRPr="006F4AEA" w:rsidRDefault="006F4AEA" w:rsidP="001E165D">
            <w:pPr>
              <w:pStyle w:val="TableText"/>
              <w:ind w:left="0"/>
              <w:rPr>
                <w:b/>
                <w:color w:val="51247A" w:themeColor="accent1"/>
              </w:rPr>
            </w:pPr>
            <w:r w:rsidRPr="006F4AEA">
              <w:rPr>
                <w:b/>
                <w:color w:val="51247A" w:themeColor="accent1"/>
              </w:rPr>
              <w:t>5</w:t>
            </w:r>
          </w:p>
        </w:tc>
        <w:tc>
          <w:tcPr>
            <w:tcW w:w="8789" w:type="dxa"/>
            <w:tcBorders>
              <w:bottom w:val="nil"/>
            </w:tcBorders>
            <w:shd w:val="clear" w:color="auto" w:fill="FFFFFF" w:themeFill="background1"/>
          </w:tcPr>
          <w:p w14:paraId="38CA1566" w14:textId="77777777" w:rsidR="006F4AEA" w:rsidRPr="007400F3" w:rsidRDefault="006F4AEA" w:rsidP="00441662">
            <w:pPr>
              <w:pStyle w:val="TableText"/>
              <w:spacing w:before="0"/>
              <w:ind w:left="0"/>
            </w:pPr>
            <w:r w:rsidRPr="006F4AEA">
              <w:rPr>
                <w:rStyle w:val="Hyperlink"/>
                <w:rFonts w:ascii="Arial" w:hAnsi="Arial" w:cs="Arial"/>
                <w:b/>
                <w:color w:val="51247A" w:themeColor="accent1"/>
                <w:szCs w:val="20"/>
              </w:rPr>
              <w:t>PRIVACY</w:t>
            </w:r>
            <w:r w:rsidRPr="006F4AEA">
              <w:rPr>
                <w:rStyle w:val="Hyperlink"/>
                <w:color w:val="51247A" w:themeColor="accent1"/>
              </w:rPr>
              <w:t>:</w:t>
            </w:r>
            <w:r w:rsidRPr="006F4AEA">
              <w:rPr>
                <w:rStyle w:val="Hyperlink"/>
                <w:color w:val="51247A" w:themeColor="accent1"/>
                <w:u w:val="none"/>
              </w:rPr>
              <w:t xml:space="preserve"> </w:t>
            </w:r>
            <w:r>
              <w:rPr>
                <w:b/>
              </w:rPr>
              <w:t xml:space="preserve">Is </w:t>
            </w:r>
            <w:r w:rsidRPr="005676D9">
              <w:rPr>
                <w:b/>
              </w:rPr>
              <w:t xml:space="preserve">personal information </w:t>
            </w:r>
            <w:r>
              <w:rPr>
                <w:b/>
              </w:rPr>
              <w:t>being collected, processed or stored?</w:t>
            </w:r>
            <w:r w:rsidRPr="007400F3">
              <w:t xml:space="preserve"> </w:t>
            </w:r>
            <w:r w:rsidRPr="006C3D11">
              <w:rPr>
                <w:i/>
              </w:rPr>
              <w:t>If so, consider the types of personal information, its sensitivity, if it will be encrypted, who will have access, where it will be stored and which laws apply (e.g. local and/or foreign e.g. GDPR).  Refer to the Guidelines.</w:t>
            </w:r>
          </w:p>
          <w:p w14:paraId="123D9549" w14:textId="77777777" w:rsidR="006F4AEA" w:rsidRPr="000147BD" w:rsidRDefault="006F4AEA" w:rsidP="00441662">
            <w:pPr>
              <w:pStyle w:val="TableText"/>
              <w:spacing w:before="0" w:after="0"/>
              <w:ind w:left="0"/>
              <w:rPr>
                <w:b/>
              </w:rPr>
            </w:pPr>
            <w:r>
              <w:rPr>
                <w:b/>
              </w:rPr>
              <w:t>If so</w:t>
            </w:r>
            <w:r w:rsidRPr="005676D9">
              <w:rPr>
                <w:b/>
              </w:rPr>
              <w:t xml:space="preserve">, are </w:t>
            </w:r>
            <w:r>
              <w:rPr>
                <w:b/>
              </w:rPr>
              <w:t xml:space="preserve">you </w:t>
            </w:r>
            <w:r w:rsidRPr="005676D9">
              <w:rPr>
                <w:b/>
              </w:rPr>
              <w:t>satisfied t</w:t>
            </w:r>
            <w:r>
              <w:rPr>
                <w:b/>
              </w:rPr>
              <w:t>he terms enable UQ to comply with its privacy obligations?</w:t>
            </w:r>
          </w:p>
        </w:tc>
        <w:tc>
          <w:tcPr>
            <w:tcW w:w="709" w:type="dxa"/>
            <w:tcBorders>
              <w:bottom w:val="nil"/>
            </w:tcBorders>
          </w:tcPr>
          <w:p w14:paraId="5F94BBDA" w14:textId="77777777" w:rsidR="006F4AEA" w:rsidRPr="006F5044" w:rsidRDefault="00A565A1" w:rsidP="00BA7CAE">
            <w:pPr>
              <w:jc w:val="center"/>
              <w:rPr>
                <w:sz w:val="28"/>
                <w:szCs w:val="28"/>
              </w:rPr>
            </w:pPr>
            <w:sdt>
              <w:sdtPr>
                <w:rPr>
                  <w:sz w:val="28"/>
                  <w:szCs w:val="28"/>
                </w:rPr>
                <w:id w:val="-1164317538"/>
                <w14:checkbox>
                  <w14:checked w14:val="0"/>
                  <w14:checkedState w14:val="00FC" w14:font="Wingdings"/>
                  <w14:uncheckedState w14:val="2610" w14:font="MS Gothic"/>
                </w14:checkbox>
              </w:sdtPr>
              <w:sdtEndPr/>
              <w:sdtContent>
                <w:r w:rsidR="006F4AEA" w:rsidRPr="006F5044">
                  <w:rPr>
                    <w:rFonts w:ascii="Segoe UI Symbol" w:hAnsi="Segoe UI Symbol" w:cs="Segoe UI Symbol"/>
                    <w:sz w:val="28"/>
                    <w:szCs w:val="28"/>
                  </w:rPr>
                  <w:t>☐</w:t>
                </w:r>
              </w:sdtContent>
            </w:sdt>
          </w:p>
          <w:p w14:paraId="67F78C16" w14:textId="77777777" w:rsidR="006F4AEA" w:rsidRPr="00F8382F" w:rsidRDefault="006F4AEA" w:rsidP="00BA7CAE">
            <w:pPr>
              <w:jc w:val="center"/>
              <w:rPr>
                <w:sz w:val="12"/>
                <w:szCs w:val="28"/>
              </w:rPr>
            </w:pPr>
          </w:p>
          <w:p w14:paraId="1EC6056E" w14:textId="77777777" w:rsidR="006F4AEA" w:rsidRPr="006F5044" w:rsidRDefault="00A565A1" w:rsidP="00BA7CAE">
            <w:pPr>
              <w:jc w:val="center"/>
              <w:rPr>
                <w:sz w:val="28"/>
                <w:szCs w:val="28"/>
              </w:rPr>
            </w:pPr>
            <w:sdt>
              <w:sdtPr>
                <w:rPr>
                  <w:sz w:val="28"/>
                  <w:szCs w:val="28"/>
                </w:rPr>
                <w:id w:val="1395848624"/>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c>
          <w:tcPr>
            <w:tcW w:w="708" w:type="dxa"/>
            <w:tcBorders>
              <w:bottom w:val="nil"/>
            </w:tcBorders>
          </w:tcPr>
          <w:p w14:paraId="2DCB13D8" w14:textId="77777777" w:rsidR="006F4AEA" w:rsidRPr="006F5044" w:rsidRDefault="00A565A1" w:rsidP="00BA7CAE">
            <w:pPr>
              <w:jc w:val="center"/>
              <w:rPr>
                <w:sz w:val="28"/>
                <w:szCs w:val="28"/>
              </w:rPr>
            </w:pPr>
            <w:sdt>
              <w:sdtPr>
                <w:rPr>
                  <w:sz w:val="28"/>
                  <w:szCs w:val="28"/>
                </w:rPr>
                <w:id w:val="-137952417"/>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p w14:paraId="62C518DD" w14:textId="77777777" w:rsidR="006F4AEA" w:rsidRPr="00F8382F" w:rsidRDefault="006F4AEA" w:rsidP="00BA7CAE">
            <w:pPr>
              <w:jc w:val="center"/>
              <w:rPr>
                <w:sz w:val="12"/>
                <w:szCs w:val="28"/>
              </w:rPr>
            </w:pPr>
          </w:p>
          <w:p w14:paraId="3E57B67E" w14:textId="77777777" w:rsidR="006F4AEA" w:rsidRPr="006F5044" w:rsidRDefault="00A565A1" w:rsidP="00BA7CAE">
            <w:pPr>
              <w:jc w:val="center"/>
              <w:rPr>
                <w:sz w:val="28"/>
                <w:szCs w:val="28"/>
              </w:rPr>
            </w:pPr>
            <w:sdt>
              <w:sdtPr>
                <w:rPr>
                  <w:sz w:val="28"/>
                  <w:szCs w:val="28"/>
                </w:rPr>
                <w:id w:val="983975369"/>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r>
      <w:tr w:rsidR="006F4AEA" w:rsidRPr="006F5044" w14:paraId="5C6B4EE8" w14:textId="77777777" w:rsidTr="001E165D">
        <w:tc>
          <w:tcPr>
            <w:tcW w:w="567" w:type="dxa"/>
            <w:tcBorders>
              <w:bottom w:val="nil"/>
            </w:tcBorders>
            <w:shd w:val="clear" w:color="auto" w:fill="FFFFFF" w:themeFill="background1"/>
          </w:tcPr>
          <w:p w14:paraId="2AF69EB5" w14:textId="267547BC" w:rsidR="006F4AEA" w:rsidRPr="006F4AEA" w:rsidRDefault="001E165D" w:rsidP="001E165D">
            <w:pPr>
              <w:pStyle w:val="TableText"/>
              <w:ind w:left="0"/>
              <w:rPr>
                <w:b/>
                <w:color w:val="51247A" w:themeColor="accent1"/>
              </w:rPr>
            </w:pPr>
            <w:r>
              <w:rPr>
                <w:b/>
                <w:color w:val="51247A" w:themeColor="accent1"/>
              </w:rPr>
              <w:t>6</w:t>
            </w:r>
          </w:p>
        </w:tc>
        <w:tc>
          <w:tcPr>
            <w:tcW w:w="8789" w:type="dxa"/>
            <w:tcBorders>
              <w:bottom w:val="nil"/>
            </w:tcBorders>
            <w:shd w:val="clear" w:color="auto" w:fill="FFFFFF" w:themeFill="background1"/>
          </w:tcPr>
          <w:p w14:paraId="52334D76" w14:textId="77777777" w:rsidR="006F4AEA" w:rsidRDefault="006F4AEA" w:rsidP="00441662">
            <w:pPr>
              <w:pStyle w:val="TableText"/>
              <w:spacing w:before="0" w:after="0"/>
              <w:ind w:left="0"/>
              <w:rPr>
                <w:b/>
              </w:rPr>
            </w:pPr>
            <w:r w:rsidRPr="006F4AEA">
              <w:rPr>
                <w:rStyle w:val="Hyperlink"/>
                <w:rFonts w:ascii="Arial" w:hAnsi="Arial" w:cs="Arial"/>
                <w:b/>
                <w:color w:val="51247A" w:themeColor="accent1"/>
                <w:szCs w:val="20"/>
              </w:rPr>
              <w:t>UNUSUAL TERMS</w:t>
            </w:r>
            <w:r w:rsidRPr="006F4AEA">
              <w:rPr>
                <w:rStyle w:val="Hyperlink"/>
                <w:color w:val="51247A" w:themeColor="accent1"/>
              </w:rPr>
              <w:t>:</w:t>
            </w:r>
            <w:r w:rsidRPr="006F4AEA">
              <w:rPr>
                <w:rStyle w:val="Hyperlink"/>
                <w:color w:val="51247A" w:themeColor="accent1"/>
                <w:u w:val="none"/>
              </w:rPr>
              <w:t xml:space="preserve"> </w:t>
            </w:r>
            <w:r>
              <w:rPr>
                <w:b/>
              </w:rPr>
              <w:t>Are there any unusual terms?</w:t>
            </w:r>
          </w:p>
          <w:p w14:paraId="5995B9AD" w14:textId="0010773A" w:rsidR="006F4AEA" w:rsidRPr="006F4AEA" w:rsidRDefault="006F4AEA" w:rsidP="00441662">
            <w:pPr>
              <w:pStyle w:val="TableText"/>
              <w:spacing w:before="0" w:after="0"/>
              <w:ind w:left="0"/>
              <w:rPr>
                <w:i/>
              </w:rPr>
            </w:pPr>
            <w:r>
              <w:rPr>
                <w:i/>
              </w:rPr>
              <w:t>These include terms requiring UQ to: disclose, license or assign UQ or student IP; share research; publish papers or obtain vendor approval before publishing; or promote the vendor or its products.</w:t>
            </w:r>
          </w:p>
          <w:p w14:paraId="6001087F" w14:textId="77777777" w:rsidR="006F4AEA" w:rsidRPr="002B503C" w:rsidRDefault="006F4AEA" w:rsidP="00441662">
            <w:pPr>
              <w:pStyle w:val="TableText"/>
              <w:spacing w:before="0" w:after="0"/>
              <w:ind w:left="0"/>
              <w:rPr>
                <w:b/>
              </w:rPr>
            </w:pPr>
            <w:r>
              <w:rPr>
                <w:b/>
              </w:rPr>
              <w:t>If so, have they been approved by appropriate UQ management?</w:t>
            </w:r>
          </w:p>
        </w:tc>
        <w:tc>
          <w:tcPr>
            <w:tcW w:w="709" w:type="dxa"/>
            <w:tcBorders>
              <w:bottom w:val="nil"/>
            </w:tcBorders>
          </w:tcPr>
          <w:p w14:paraId="22AFEA7F" w14:textId="77777777" w:rsidR="006F4AEA" w:rsidRPr="006F5044" w:rsidRDefault="00A565A1" w:rsidP="00BA7CAE">
            <w:pPr>
              <w:jc w:val="center"/>
              <w:rPr>
                <w:sz w:val="28"/>
                <w:szCs w:val="28"/>
              </w:rPr>
            </w:pPr>
            <w:sdt>
              <w:sdtPr>
                <w:rPr>
                  <w:sz w:val="28"/>
                  <w:szCs w:val="28"/>
                </w:rPr>
                <w:id w:val="-876315382"/>
                <w14:checkbox>
                  <w14:checked w14:val="0"/>
                  <w14:checkedState w14:val="00FC" w14:font="Wingdings"/>
                  <w14:uncheckedState w14:val="2610" w14:font="MS Gothic"/>
                </w14:checkbox>
              </w:sdtPr>
              <w:sdtEndPr/>
              <w:sdtContent>
                <w:r w:rsidR="006F4AEA" w:rsidRPr="006F5044">
                  <w:rPr>
                    <w:rFonts w:ascii="Segoe UI Symbol" w:hAnsi="Segoe UI Symbol" w:cs="Segoe UI Symbol"/>
                    <w:sz w:val="28"/>
                    <w:szCs w:val="28"/>
                  </w:rPr>
                  <w:t>☐</w:t>
                </w:r>
              </w:sdtContent>
            </w:sdt>
          </w:p>
          <w:p w14:paraId="51C3D55D" w14:textId="77777777" w:rsidR="006F4AEA" w:rsidRPr="00FE4E2F" w:rsidRDefault="006F4AEA" w:rsidP="00BA7CAE">
            <w:pPr>
              <w:jc w:val="center"/>
              <w:rPr>
                <w:sz w:val="22"/>
                <w:szCs w:val="28"/>
              </w:rPr>
            </w:pPr>
          </w:p>
          <w:p w14:paraId="60DD38B6" w14:textId="77777777" w:rsidR="006F4AEA" w:rsidRPr="00FE4E2F" w:rsidRDefault="006F4AEA" w:rsidP="00BA7CAE">
            <w:pPr>
              <w:jc w:val="center"/>
              <w:rPr>
                <w:sz w:val="22"/>
                <w:szCs w:val="28"/>
              </w:rPr>
            </w:pPr>
          </w:p>
          <w:p w14:paraId="21D5757C" w14:textId="77777777" w:rsidR="006F4AEA" w:rsidRPr="006F5044" w:rsidRDefault="00A565A1" w:rsidP="00BA7CAE">
            <w:pPr>
              <w:jc w:val="center"/>
              <w:rPr>
                <w:sz w:val="28"/>
                <w:szCs w:val="28"/>
              </w:rPr>
            </w:pPr>
            <w:sdt>
              <w:sdtPr>
                <w:rPr>
                  <w:sz w:val="28"/>
                  <w:szCs w:val="28"/>
                </w:rPr>
                <w:id w:val="341365365"/>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c>
          <w:tcPr>
            <w:tcW w:w="708" w:type="dxa"/>
            <w:tcBorders>
              <w:bottom w:val="nil"/>
            </w:tcBorders>
          </w:tcPr>
          <w:p w14:paraId="1508E7F2" w14:textId="77777777" w:rsidR="006F4AEA" w:rsidRPr="006F5044" w:rsidRDefault="00A565A1" w:rsidP="00BA7CAE">
            <w:pPr>
              <w:jc w:val="center"/>
              <w:rPr>
                <w:sz w:val="28"/>
                <w:szCs w:val="28"/>
              </w:rPr>
            </w:pPr>
            <w:sdt>
              <w:sdtPr>
                <w:rPr>
                  <w:sz w:val="28"/>
                  <w:szCs w:val="28"/>
                </w:rPr>
                <w:id w:val="-857730663"/>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p w14:paraId="11B6F6D9" w14:textId="77777777" w:rsidR="006F4AEA" w:rsidRPr="00FE4E2F" w:rsidRDefault="006F4AEA" w:rsidP="00BA7CAE">
            <w:pPr>
              <w:jc w:val="center"/>
              <w:rPr>
                <w:sz w:val="22"/>
                <w:szCs w:val="28"/>
              </w:rPr>
            </w:pPr>
          </w:p>
          <w:p w14:paraId="3328A4B2" w14:textId="77777777" w:rsidR="006F4AEA" w:rsidRPr="00FE4E2F" w:rsidRDefault="006F4AEA" w:rsidP="00BA7CAE">
            <w:pPr>
              <w:jc w:val="center"/>
              <w:rPr>
                <w:sz w:val="22"/>
                <w:szCs w:val="28"/>
              </w:rPr>
            </w:pPr>
          </w:p>
          <w:p w14:paraId="39430D8B" w14:textId="77777777" w:rsidR="006F4AEA" w:rsidRPr="006F5044" w:rsidRDefault="00A565A1" w:rsidP="00BA7CAE">
            <w:pPr>
              <w:jc w:val="center"/>
              <w:rPr>
                <w:sz w:val="28"/>
                <w:szCs w:val="28"/>
              </w:rPr>
            </w:pPr>
            <w:sdt>
              <w:sdtPr>
                <w:rPr>
                  <w:sz w:val="28"/>
                  <w:szCs w:val="28"/>
                </w:rPr>
                <w:id w:val="-1046447392"/>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r>
      <w:tr w:rsidR="006F4AEA" w:rsidRPr="006F5044" w14:paraId="2CE89420" w14:textId="77777777" w:rsidTr="001E165D">
        <w:tc>
          <w:tcPr>
            <w:tcW w:w="567" w:type="dxa"/>
            <w:tcBorders>
              <w:bottom w:val="single" w:sz="4" w:space="0" w:color="auto"/>
            </w:tcBorders>
            <w:shd w:val="clear" w:color="auto" w:fill="FFFFFF" w:themeFill="background1"/>
          </w:tcPr>
          <w:p w14:paraId="1BBF0A14" w14:textId="0303F15B" w:rsidR="006F4AEA" w:rsidRPr="006F4AEA" w:rsidRDefault="001E165D" w:rsidP="001E165D">
            <w:pPr>
              <w:pStyle w:val="TableText"/>
              <w:ind w:left="0"/>
              <w:rPr>
                <w:b/>
                <w:color w:val="51247A" w:themeColor="accent1"/>
              </w:rPr>
            </w:pPr>
            <w:r>
              <w:rPr>
                <w:b/>
                <w:color w:val="51247A" w:themeColor="accent1"/>
              </w:rPr>
              <w:t>7</w:t>
            </w:r>
          </w:p>
        </w:tc>
        <w:tc>
          <w:tcPr>
            <w:tcW w:w="8789" w:type="dxa"/>
            <w:tcBorders>
              <w:bottom w:val="single" w:sz="4" w:space="0" w:color="auto"/>
            </w:tcBorders>
            <w:shd w:val="clear" w:color="auto" w:fill="FFFFFF" w:themeFill="background1"/>
          </w:tcPr>
          <w:p w14:paraId="0AF2550B" w14:textId="77777777" w:rsidR="006F4AEA" w:rsidRPr="005676D9" w:rsidRDefault="006F4AEA" w:rsidP="00441662">
            <w:pPr>
              <w:pStyle w:val="TableText"/>
              <w:spacing w:before="0" w:after="0"/>
              <w:ind w:left="0"/>
            </w:pPr>
            <w:r w:rsidRPr="006F4AEA">
              <w:rPr>
                <w:b/>
                <w:color w:val="51247A" w:themeColor="accent1"/>
              </w:rPr>
              <w:t>RETENTION &amp; DISCLOSURE RIGHTS:</w:t>
            </w:r>
            <w:r w:rsidRPr="006F4AEA">
              <w:rPr>
                <w:color w:val="51247A" w:themeColor="accent1"/>
              </w:rPr>
              <w:t xml:space="preserve"> </w:t>
            </w:r>
            <w:r w:rsidRPr="002A155C">
              <w:rPr>
                <w:b/>
              </w:rPr>
              <w:t>Are UQ’s rights to retain and disclose licensed materials adequate (including after termination)?</w:t>
            </w:r>
          </w:p>
        </w:tc>
        <w:tc>
          <w:tcPr>
            <w:tcW w:w="709" w:type="dxa"/>
            <w:tcBorders>
              <w:bottom w:val="single" w:sz="4" w:space="0" w:color="auto"/>
            </w:tcBorders>
          </w:tcPr>
          <w:p w14:paraId="0DB54E2E" w14:textId="77777777" w:rsidR="006F4AEA" w:rsidRPr="005676D9"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880134230"/>
                <w14:checkbox>
                  <w14:checked w14:val="0"/>
                  <w14:checkedState w14:val="00FC" w14:font="Wingdings"/>
                  <w14:uncheckedState w14:val="2610" w14:font="MS Gothic"/>
                </w14:checkbox>
              </w:sdtPr>
              <w:sdtEndPr/>
              <w:sdtContent>
                <w:r w:rsidR="006F4AEA" w:rsidRPr="00BF6446">
                  <w:rPr>
                    <w:rFonts w:ascii="Segoe UI Symbol" w:eastAsia="MS Gothic" w:hAnsi="Segoe UI Symbol" w:cs="Segoe UI Symbol"/>
                    <w:sz w:val="28"/>
                    <w:szCs w:val="28"/>
                  </w:rPr>
                  <w:t>☐</w:t>
                </w:r>
              </w:sdtContent>
            </w:sdt>
          </w:p>
        </w:tc>
        <w:tc>
          <w:tcPr>
            <w:tcW w:w="708" w:type="dxa"/>
            <w:tcBorders>
              <w:bottom w:val="single" w:sz="4" w:space="0" w:color="auto"/>
            </w:tcBorders>
          </w:tcPr>
          <w:p w14:paraId="7F85039D" w14:textId="77777777" w:rsidR="006F4AEA" w:rsidRPr="006F5044"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504442331"/>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r>
      <w:tr w:rsidR="006F4AEA" w:rsidRPr="006F5044" w14:paraId="7E03AAD5" w14:textId="77777777" w:rsidTr="001E165D">
        <w:tc>
          <w:tcPr>
            <w:tcW w:w="567" w:type="dxa"/>
            <w:tcBorders>
              <w:bottom w:val="single" w:sz="4" w:space="0" w:color="auto"/>
            </w:tcBorders>
            <w:shd w:val="clear" w:color="auto" w:fill="FFFFFF" w:themeFill="background1"/>
          </w:tcPr>
          <w:p w14:paraId="71874D4A" w14:textId="05B9F372" w:rsidR="006F4AEA" w:rsidRPr="006F4AEA" w:rsidRDefault="001E165D" w:rsidP="001E165D">
            <w:pPr>
              <w:pStyle w:val="TableText"/>
              <w:ind w:left="0"/>
              <w:rPr>
                <w:b/>
                <w:color w:val="51247A" w:themeColor="accent1"/>
              </w:rPr>
            </w:pPr>
            <w:r>
              <w:rPr>
                <w:b/>
                <w:color w:val="51247A" w:themeColor="accent1"/>
              </w:rPr>
              <w:t>8</w:t>
            </w:r>
          </w:p>
        </w:tc>
        <w:tc>
          <w:tcPr>
            <w:tcW w:w="8789" w:type="dxa"/>
            <w:tcBorders>
              <w:bottom w:val="single" w:sz="4" w:space="0" w:color="auto"/>
            </w:tcBorders>
            <w:shd w:val="clear" w:color="auto" w:fill="FFFFFF" w:themeFill="background1"/>
          </w:tcPr>
          <w:p w14:paraId="6EACFC87" w14:textId="77777777" w:rsidR="006F4AEA" w:rsidRPr="005676D9" w:rsidRDefault="006F4AEA" w:rsidP="00441662">
            <w:pPr>
              <w:pStyle w:val="TableText"/>
              <w:spacing w:before="0" w:after="0"/>
              <w:ind w:left="0"/>
            </w:pPr>
            <w:r w:rsidRPr="006F4AEA">
              <w:rPr>
                <w:b/>
                <w:color w:val="51247A" w:themeColor="accent1"/>
              </w:rPr>
              <w:t>LIABILITY:</w:t>
            </w:r>
            <w:r w:rsidRPr="006F4AEA">
              <w:rPr>
                <w:color w:val="51247A" w:themeColor="accent1"/>
              </w:rPr>
              <w:t xml:space="preserve"> </w:t>
            </w:r>
            <w:r w:rsidRPr="002A155C">
              <w:rPr>
                <w:b/>
              </w:rPr>
              <w:t xml:space="preserve">Are the liability </w:t>
            </w:r>
            <w:r>
              <w:rPr>
                <w:b/>
              </w:rPr>
              <w:t xml:space="preserve">clauses </w:t>
            </w:r>
            <w:r w:rsidRPr="002A155C">
              <w:rPr>
                <w:b/>
              </w:rPr>
              <w:t>acceptable (</w:t>
            </w:r>
            <w:r>
              <w:rPr>
                <w:b/>
              </w:rPr>
              <w:t xml:space="preserve">i.e. </w:t>
            </w:r>
            <w:r w:rsidRPr="002A155C">
              <w:rPr>
                <w:b/>
              </w:rPr>
              <w:t>liability caps and exclusions, warranty disclaimers and indemnities)?</w:t>
            </w:r>
            <w:r w:rsidRPr="007400F3">
              <w:t xml:space="preserve">  </w:t>
            </w:r>
            <w:r w:rsidRPr="007400F3">
              <w:rPr>
                <w:i/>
              </w:rPr>
              <w:t xml:space="preserve">See </w:t>
            </w:r>
            <w:r>
              <w:rPr>
                <w:i/>
              </w:rPr>
              <w:t xml:space="preserve">the </w:t>
            </w:r>
            <w:r w:rsidRPr="004A5D2A">
              <w:rPr>
                <w:i/>
              </w:rPr>
              <w:t>Guidelines</w:t>
            </w:r>
            <w:r>
              <w:rPr>
                <w:i/>
              </w:rPr>
              <w:t>.</w:t>
            </w:r>
          </w:p>
        </w:tc>
        <w:tc>
          <w:tcPr>
            <w:tcW w:w="709" w:type="dxa"/>
            <w:tcBorders>
              <w:bottom w:val="single" w:sz="4" w:space="0" w:color="auto"/>
            </w:tcBorders>
          </w:tcPr>
          <w:p w14:paraId="7D60AF91" w14:textId="77777777" w:rsidR="006F4AEA" w:rsidRPr="005676D9"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1948301076"/>
                <w14:checkbox>
                  <w14:checked w14:val="0"/>
                  <w14:checkedState w14:val="00FC" w14:font="Wingdings"/>
                  <w14:uncheckedState w14:val="2610" w14:font="MS Gothic"/>
                </w14:checkbox>
              </w:sdtPr>
              <w:sdtEndPr/>
              <w:sdtContent>
                <w:r w:rsidR="006F4AEA" w:rsidRPr="00BF6446">
                  <w:rPr>
                    <w:rFonts w:ascii="Segoe UI Symbol" w:eastAsia="MS Gothic" w:hAnsi="Segoe UI Symbol" w:cs="Segoe UI Symbol"/>
                    <w:sz w:val="28"/>
                    <w:szCs w:val="28"/>
                  </w:rPr>
                  <w:t>☐</w:t>
                </w:r>
              </w:sdtContent>
            </w:sdt>
          </w:p>
        </w:tc>
        <w:tc>
          <w:tcPr>
            <w:tcW w:w="708" w:type="dxa"/>
            <w:tcBorders>
              <w:bottom w:val="single" w:sz="4" w:space="0" w:color="auto"/>
            </w:tcBorders>
          </w:tcPr>
          <w:p w14:paraId="013C3681" w14:textId="77777777" w:rsidR="006F4AEA" w:rsidRPr="00BF6446"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258960971"/>
                <w14:checkbox>
                  <w14:checked w14:val="0"/>
                  <w14:checkedState w14:val="00FC" w14:font="Wingdings"/>
                  <w14:uncheckedState w14:val="2610" w14:font="MS Gothic"/>
                </w14:checkbox>
              </w:sdtPr>
              <w:sdtEndPr/>
              <w:sdtContent>
                <w:r w:rsidR="006F4AEA" w:rsidRPr="00BF6446">
                  <w:rPr>
                    <w:rFonts w:ascii="Segoe UI Symbol" w:eastAsia="MS Gothic" w:hAnsi="Segoe UI Symbol" w:cs="Segoe UI Symbol"/>
                    <w:sz w:val="28"/>
                    <w:szCs w:val="28"/>
                  </w:rPr>
                  <w:t>☐</w:t>
                </w:r>
              </w:sdtContent>
            </w:sdt>
          </w:p>
        </w:tc>
      </w:tr>
      <w:tr w:rsidR="006F4AEA" w:rsidRPr="006F5044" w14:paraId="3D2D2F0D" w14:textId="77777777" w:rsidTr="001E165D">
        <w:tc>
          <w:tcPr>
            <w:tcW w:w="567" w:type="dxa"/>
            <w:tcBorders>
              <w:bottom w:val="single" w:sz="4" w:space="0" w:color="auto"/>
            </w:tcBorders>
            <w:shd w:val="clear" w:color="auto" w:fill="FFFFFF" w:themeFill="background1"/>
            <w:vAlign w:val="center"/>
          </w:tcPr>
          <w:p w14:paraId="6DBDA184" w14:textId="7F9ECD1A" w:rsidR="006F4AEA" w:rsidRPr="006F4AEA" w:rsidRDefault="001E165D" w:rsidP="001E165D">
            <w:pPr>
              <w:pStyle w:val="TableText"/>
              <w:ind w:left="0"/>
              <w:rPr>
                <w:b/>
                <w:color w:val="51247A" w:themeColor="accent1"/>
              </w:rPr>
            </w:pPr>
            <w:r>
              <w:rPr>
                <w:b/>
                <w:color w:val="51247A" w:themeColor="accent1"/>
              </w:rPr>
              <w:t>9</w:t>
            </w:r>
          </w:p>
        </w:tc>
        <w:tc>
          <w:tcPr>
            <w:tcW w:w="8789" w:type="dxa"/>
            <w:tcBorders>
              <w:bottom w:val="single" w:sz="4" w:space="0" w:color="auto"/>
            </w:tcBorders>
            <w:shd w:val="clear" w:color="auto" w:fill="FFFFFF" w:themeFill="background1"/>
            <w:vAlign w:val="center"/>
          </w:tcPr>
          <w:p w14:paraId="1EEA3F2A" w14:textId="77777777" w:rsidR="006F4AEA" w:rsidRDefault="006F4AEA" w:rsidP="00441662">
            <w:pPr>
              <w:pStyle w:val="TableText"/>
              <w:spacing w:before="0" w:after="0"/>
              <w:ind w:left="0"/>
            </w:pPr>
            <w:r w:rsidRPr="006F4AEA">
              <w:rPr>
                <w:b/>
                <w:color w:val="51247A" w:themeColor="accent1"/>
              </w:rPr>
              <w:t xml:space="preserve">FOREIGN LAWS: </w:t>
            </w:r>
            <w:r>
              <w:rPr>
                <w:b/>
              </w:rPr>
              <w:t>Does the licence include foreign governing law clauses?</w:t>
            </w:r>
          </w:p>
        </w:tc>
        <w:tc>
          <w:tcPr>
            <w:tcW w:w="709" w:type="dxa"/>
            <w:tcBorders>
              <w:bottom w:val="single" w:sz="4" w:space="0" w:color="auto"/>
            </w:tcBorders>
            <w:vAlign w:val="center"/>
          </w:tcPr>
          <w:p w14:paraId="1B85EBA0" w14:textId="77777777" w:rsidR="006F4AEA" w:rsidRDefault="00A565A1" w:rsidP="00BA7CAE">
            <w:pPr>
              <w:pStyle w:val="TableText0"/>
              <w:spacing w:before="40" w:after="40"/>
              <w:jc w:val="center"/>
              <w:rPr>
                <w:rFonts w:ascii="Arial" w:hAnsi="Arial" w:cs="Arial"/>
                <w:sz w:val="28"/>
                <w:szCs w:val="28"/>
              </w:rPr>
            </w:pPr>
            <w:sdt>
              <w:sdtPr>
                <w:rPr>
                  <w:sz w:val="28"/>
                  <w:szCs w:val="28"/>
                </w:rPr>
                <w:id w:val="-510904992"/>
                <w14:checkbox>
                  <w14:checked w14:val="0"/>
                  <w14:checkedState w14:val="00FC" w14:font="Wingdings"/>
                  <w14:uncheckedState w14:val="2610" w14:font="MS Gothic"/>
                </w14:checkbox>
              </w:sdtPr>
              <w:sdtEndPr/>
              <w:sdtContent>
                <w:r w:rsidR="006F4AEA" w:rsidRPr="006F5044">
                  <w:rPr>
                    <w:rFonts w:ascii="Segoe UI Symbol" w:hAnsi="Segoe UI Symbol" w:cs="Segoe UI Symbol"/>
                    <w:sz w:val="28"/>
                    <w:szCs w:val="28"/>
                  </w:rPr>
                  <w:t>☐</w:t>
                </w:r>
              </w:sdtContent>
            </w:sdt>
          </w:p>
        </w:tc>
        <w:tc>
          <w:tcPr>
            <w:tcW w:w="708" w:type="dxa"/>
            <w:tcBorders>
              <w:bottom w:val="single" w:sz="4" w:space="0" w:color="auto"/>
            </w:tcBorders>
            <w:vAlign w:val="center"/>
          </w:tcPr>
          <w:p w14:paraId="7BAD29E5" w14:textId="77777777" w:rsidR="006F4AEA" w:rsidRDefault="00A565A1" w:rsidP="00BA7CAE">
            <w:pPr>
              <w:pStyle w:val="TableText0"/>
              <w:spacing w:before="40" w:after="40"/>
              <w:jc w:val="center"/>
              <w:rPr>
                <w:rFonts w:ascii="Arial" w:hAnsi="Arial" w:cs="Arial"/>
                <w:sz w:val="28"/>
                <w:szCs w:val="28"/>
              </w:rPr>
            </w:pPr>
            <w:sdt>
              <w:sdtPr>
                <w:rPr>
                  <w:sz w:val="28"/>
                  <w:szCs w:val="28"/>
                </w:rPr>
                <w:id w:val="-710880681"/>
                <w14:checkbox>
                  <w14:checked w14:val="0"/>
                  <w14:checkedState w14:val="00FC" w14:font="Wingdings"/>
                  <w14:uncheckedState w14:val="2610" w14:font="MS Gothic"/>
                </w14:checkbox>
              </w:sdtPr>
              <w:sdtEndPr/>
              <w:sdtContent>
                <w:r w:rsidR="006F4AEA" w:rsidRPr="006F5044">
                  <w:rPr>
                    <w:rFonts w:ascii="Segoe UI Symbol" w:hAnsi="Segoe UI Symbol" w:cs="Segoe UI Symbol"/>
                    <w:sz w:val="28"/>
                    <w:szCs w:val="28"/>
                  </w:rPr>
                  <w:t>☐</w:t>
                </w:r>
              </w:sdtContent>
            </w:sdt>
          </w:p>
        </w:tc>
      </w:tr>
      <w:tr w:rsidR="006F4AEA" w:rsidRPr="006F5044" w14:paraId="214AB70C" w14:textId="77777777" w:rsidTr="00441662">
        <w:trPr>
          <w:trHeight w:val="349"/>
        </w:trPr>
        <w:tc>
          <w:tcPr>
            <w:tcW w:w="567" w:type="dxa"/>
            <w:tcBorders>
              <w:top w:val="single" w:sz="4" w:space="0" w:color="auto"/>
              <w:bottom w:val="single" w:sz="4" w:space="0" w:color="auto"/>
            </w:tcBorders>
            <w:shd w:val="clear" w:color="auto" w:fill="auto"/>
            <w:vAlign w:val="center"/>
          </w:tcPr>
          <w:p w14:paraId="0972DF1E" w14:textId="2B9F659D" w:rsidR="006F4AEA" w:rsidRPr="006F4AEA" w:rsidRDefault="006F4AEA" w:rsidP="001E165D">
            <w:pPr>
              <w:pStyle w:val="TableText"/>
              <w:ind w:left="0"/>
              <w:rPr>
                <w:b/>
                <w:color w:val="51247A" w:themeColor="accent1"/>
              </w:rPr>
            </w:pPr>
            <w:r w:rsidRPr="006F4AEA">
              <w:rPr>
                <w:b/>
                <w:color w:val="51247A" w:themeColor="accent1"/>
              </w:rPr>
              <w:t>10</w:t>
            </w:r>
          </w:p>
        </w:tc>
        <w:tc>
          <w:tcPr>
            <w:tcW w:w="8789" w:type="dxa"/>
            <w:tcBorders>
              <w:top w:val="single" w:sz="4" w:space="0" w:color="auto"/>
              <w:bottom w:val="single" w:sz="4" w:space="0" w:color="auto"/>
            </w:tcBorders>
            <w:shd w:val="clear" w:color="auto" w:fill="auto"/>
            <w:vAlign w:val="center"/>
          </w:tcPr>
          <w:p w14:paraId="16E629C3" w14:textId="77777777" w:rsidR="006F4AEA" w:rsidRPr="005676D9" w:rsidRDefault="006F4AEA" w:rsidP="00441662">
            <w:pPr>
              <w:pStyle w:val="TableText"/>
              <w:spacing w:before="0" w:after="0"/>
              <w:ind w:left="0"/>
            </w:pPr>
            <w:r w:rsidRPr="006F4AEA">
              <w:rPr>
                <w:b/>
                <w:color w:val="51247A" w:themeColor="accent1"/>
              </w:rPr>
              <w:t>UQ NAME</w:t>
            </w:r>
            <w:r w:rsidRPr="002A155C">
              <w:rPr>
                <w:b/>
              </w:rPr>
              <w:t>:</w:t>
            </w:r>
            <w:r w:rsidRPr="005676D9">
              <w:t xml:space="preserve"> </w:t>
            </w:r>
            <w:r w:rsidRPr="002A155C">
              <w:rPr>
                <w:b/>
              </w:rPr>
              <w:t>Does the vendor have rights to use UQ’s name or logos?</w:t>
            </w:r>
            <w:bookmarkStart w:id="0" w:name="_GoBack"/>
            <w:bookmarkEnd w:id="0"/>
          </w:p>
        </w:tc>
        <w:tc>
          <w:tcPr>
            <w:tcW w:w="709" w:type="dxa"/>
            <w:tcBorders>
              <w:top w:val="single" w:sz="4" w:space="0" w:color="auto"/>
              <w:bottom w:val="single" w:sz="4" w:space="0" w:color="auto"/>
            </w:tcBorders>
            <w:shd w:val="clear" w:color="auto" w:fill="auto"/>
            <w:vAlign w:val="center"/>
          </w:tcPr>
          <w:p w14:paraId="16DCE998" w14:textId="77777777" w:rsidR="006F4AEA" w:rsidRPr="006F5044"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326524265"/>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c>
          <w:tcPr>
            <w:tcW w:w="708" w:type="dxa"/>
            <w:tcBorders>
              <w:top w:val="single" w:sz="4" w:space="0" w:color="auto"/>
              <w:bottom w:val="single" w:sz="4" w:space="0" w:color="auto"/>
            </w:tcBorders>
            <w:vAlign w:val="center"/>
          </w:tcPr>
          <w:p w14:paraId="33FA3832" w14:textId="77777777" w:rsidR="006F4AEA" w:rsidRPr="006F5044"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2127755291"/>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r>
      <w:tr w:rsidR="006F4AEA" w:rsidRPr="006F5044" w14:paraId="0001F2E2" w14:textId="77777777" w:rsidTr="001E165D">
        <w:tc>
          <w:tcPr>
            <w:tcW w:w="567" w:type="dxa"/>
            <w:tcBorders>
              <w:bottom w:val="single" w:sz="4" w:space="0" w:color="auto"/>
            </w:tcBorders>
            <w:shd w:val="clear" w:color="auto" w:fill="FFFFFF" w:themeFill="background1"/>
            <w:vAlign w:val="center"/>
          </w:tcPr>
          <w:p w14:paraId="4A5D1BE1" w14:textId="186E3954" w:rsidR="006F4AEA" w:rsidRPr="006F4AEA" w:rsidRDefault="001E165D" w:rsidP="001E165D">
            <w:pPr>
              <w:pStyle w:val="TableText"/>
              <w:ind w:left="0"/>
              <w:rPr>
                <w:b/>
                <w:color w:val="51247A" w:themeColor="accent1"/>
              </w:rPr>
            </w:pPr>
            <w:r>
              <w:rPr>
                <w:b/>
                <w:color w:val="51247A" w:themeColor="accent1"/>
              </w:rPr>
              <w:t>11</w:t>
            </w:r>
          </w:p>
        </w:tc>
        <w:tc>
          <w:tcPr>
            <w:tcW w:w="8789" w:type="dxa"/>
            <w:tcBorders>
              <w:bottom w:val="single" w:sz="4" w:space="0" w:color="auto"/>
            </w:tcBorders>
            <w:shd w:val="clear" w:color="auto" w:fill="FFFFFF" w:themeFill="background1"/>
            <w:vAlign w:val="center"/>
          </w:tcPr>
          <w:p w14:paraId="71035C61" w14:textId="77777777" w:rsidR="006F4AEA" w:rsidRPr="005676D9" w:rsidRDefault="006F4AEA" w:rsidP="001E165D">
            <w:pPr>
              <w:pStyle w:val="TableText"/>
              <w:ind w:left="0"/>
            </w:pPr>
            <w:r w:rsidRPr="006F4AEA">
              <w:rPr>
                <w:b/>
                <w:color w:val="51247A" w:themeColor="accent1"/>
              </w:rPr>
              <w:t>AUDITS:</w:t>
            </w:r>
            <w:r w:rsidRPr="005676D9">
              <w:t xml:space="preserve"> </w:t>
            </w:r>
            <w:r w:rsidRPr="002A155C">
              <w:rPr>
                <w:b/>
              </w:rPr>
              <w:t>Does the vendor have audit rights?</w:t>
            </w:r>
          </w:p>
        </w:tc>
        <w:tc>
          <w:tcPr>
            <w:tcW w:w="709" w:type="dxa"/>
            <w:tcBorders>
              <w:bottom w:val="single" w:sz="4" w:space="0" w:color="auto"/>
            </w:tcBorders>
            <w:vAlign w:val="center"/>
          </w:tcPr>
          <w:p w14:paraId="28FBE6AE" w14:textId="77777777" w:rsidR="006F4AEA" w:rsidRPr="005676D9"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579594028"/>
                <w14:checkbox>
                  <w14:checked w14:val="0"/>
                  <w14:checkedState w14:val="00FC" w14:font="Wingdings"/>
                  <w14:uncheckedState w14:val="2610" w14:font="MS Gothic"/>
                </w14:checkbox>
              </w:sdtPr>
              <w:sdtEndPr/>
              <w:sdtContent>
                <w:r w:rsidR="006F4AEA" w:rsidRPr="00BF6446">
                  <w:rPr>
                    <w:rFonts w:ascii="Segoe UI Symbol" w:eastAsia="MS Gothic" w:hAnsi="Segoe UI Symbol" w:cs="Segoe UI Symbol"/>
                    <w:sz w:val="28"/>
                    <w:szCs w:val="28"/>
                  </w:rPr>
                  <w:t>☐</w:t>
                </w:r>
              </w:sdtContent>
            </w:sdt>
          </w:p>
        </w:tc>
        <w:tc>
          <w:tcPr>
            <w:tcW w:w="708" w:type="dxa"/>
            <w:tcBorders>
              <w:bottom w:val="single" w:sz="4" w:space="0" w:color="auto"/>
            </w:tcBorders>
            <w:vAlign w:val="center"/>
          </w:tcPr>
          <w:p w14:paraId="62CD7B59" w14:textId="77777777" w:rsidR="006F4AEA" w:rsidRPr="00BF6446"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921370175"/>
                <w14:checkbox>
                  <w14:checked w14:val="0"/>
                  <w14:checkedState w14:val="00FC" w14:font="Wingdings"/>
                  <w14:uncheckedState w14:val="2610" w14:font="MS Gothic"/>
                </w14:checkbox>
              </w:sdtPr>
              <w:sdtEndPr/>
              <w:sdtContent>
                <w:r w:rsidR="006F4AEA" w:rsidRPr="00BF6446">
                  <w:rPr>
                    <w:rFonts w:ascii="Segoe UI Symbol" w:eastAsia="MS Gothic" w:hAnsi="Segoe UI Symbol" w:cs="Segoe UI Symbol"/>
                    <w:sz w:val="28"/>
                    <w:szCs w:val="28"/>
                  </w:rPr>
                  <w:t>☐</w:t>
                </w:r>
              </w:sdtContent>
            </w:sdt>
          </w:p>
        </w:tc>
      </w:tr>
      <w:tr w:rsidR="006F4AEA" w:rsidRPr="006F5044" w14:paraId="2CD522E8" w14:textId="77777777" w:rsidTr="001E165D">
        <w:tc>
          <w:tcPr>
            <w:tcW w:w="567" w:type="dxa"/>
            <w:tcBorders>
              <w:bottom w:val="single" w:sz="4" w:space="0" w:color="auto"/>
            </w:tcBorders>
            <w:shd w:val="clear" w:color="auto" w:fill="FFFFFF" w:themeFill="background1"/>
          </w:tcPr>
          <w:p w14:paraId="65CF6AA4" w14:textId="05F3FB7F" w:rsidR="006F4AEA" w:rsidRPr="006F4AEA" w:rsidRDefault="001E165D" w:rsidP="001E165D">
            <w:pPr>
              <w:pStyle w:val="TableText"/>
              <w:ind w:left="0"/>
              <w:rPr>
                <w:b/>
                <w:color w:val="51247A" w:themeColor="accent1"/>
              </w:rPr>
            </w:pPr>
            <w:r>
              <w:rPr>
                <w:b/>
                <w:color w:val="51247A" w:themeColor="accent1"/>
              </w:rPr>
              <w:t>12</w:t>
            </w:r>
          </w:p>
        </w:tc>
        <w:tc>
          <w:tcPr>
            <w:tcW w:w="8789" w:type="dxa"/>
            <w:tcBorders>
              <w:bottom w:val="single" w:sz="4" w:space="0" w:color="auto"/>
            </w:tcBorders>
            <w:shd w:val="clear" w:color="auto" w:fill="FFFFFF" w:themeFill="background1"/>
          </w:tcPr>
          <w:p w14:paraId="613B0BAA" w14:textId="77777777" w:rsidR="006F4AEA" w:rsidRPr="005676D9" w:rsidRDefault="006F4AEA" w:rsidP="00441662">
            <w:pPr>
              <w:pStyle w:val="TableText"/>
              <w:spacing w:before="0" w:after="0"/>
              <w:ind w:left="0"/>
            </w:pPr>
            <w:r w:rsidRPr="006F4AEA">
              <w:rPr>
                <w:b/>
                <w:color w:val="51247A" w:themeColor="accent1"/>
              </w:rPr>
              <w:t>PARTY DETAILS:</w:t>
            </w:r>
            <w:r w:rsidRPr="006F4AEA">
              <w:rPr>
                <w:color w:val="51247A" w:themeColor="accent1"/>
              </w:rPr>
              <w:t xml:space="preserve"> </w:t>
            </w:r>
            <w:r w:rsidRPr="002A155C">
              <w:rPr>
                <w:b/>
              </w:rPr>
              <w:t>Are the entity details for both parties correct?</w:t>
            </w:r>
            <w:r w:rsidRPr="005676D9">
              <w:t xml:space="preserve"> </w:t>
            </w:r>
            <w:r w:rsidRPr="002A155C">
              <w:rPr>
                <w:i/>
              </w:rPr>
              <w:t>Check the party name, ACN/ABN (or other company identifier) and address.</w:t>
            </w:r>
          </w:p>
        </w:tc>
        <w:tc>
          <w:tcPr>
            <w:tcW w:w="709" w:type="dxa"/>
            <w:tcBorders>
              <w:bottom w:val="single" w:sz="4" w:space="0" w:color="auto"/>
            </w:tcBorders>
          </w:tcPr>
          <w:p w14:paraId="313B6AA6" w14:textId="77777777" w:rsidR="006F4AEA" w:rsidRPr="005676D9"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2104290901"/>
                <w14:checkbox>
                  <w14:checked w14:val="0"/>
                  <w14:checkedState w14:val="00FC" w14:font="Wingdings"/>
                  <w14:uncheckedState w14:val="2610" w14:font="MS Gothic"/>
                </w14:checkbox>
              </w:sdtPr>
              <w:sdtEndPr/>
              <w:sdtContent>
                <w:r w:rsidR="006F4AEA" w:rsidRPr="00BF6446">
                  <w:rPr>
                    <w:rFonts w:ascii="Segoe UI Symbol" w:eastAsia="MS Gothic" w:hAnsi="Segoe UI Symbol" w:cs="Segoe UI Symbol"/>
                    <w:sz w:val="28"/>
                    <w:szCs w:val="28"/>
                  </w:rPr>
                  <w:t>☐</w:t>
                </w:r>
              </w:sdtContent>
            </w:sdt>
          </w:p>
        </w:tc>
        <w:tc>
          <w:tcPr>
            <w:tcW w:w="708" w:type="dxa"/>
            <w:tcBorders>
              <w:bottom w:val="single" w:sz="4" w:space="0" w:color="auto"/>
            </w:tcBorders>
          </w:tcPr>
          <w:p w14:paraId="4F773FBD" w14:textId="77777777" w:rsidR="006F4AEA" w:rsidRPr="006F5044"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131413969"/>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r>
      <w:tr w:rsidR="006F4AEA" w:rsidRPr="006F5044" w14:paraId="1E75DF25" w14:textId="77777777" w:rsidTr="001E165D">
        <w:tc>
          <w:tcPr>
            <w:tcW w:w="567" w:type="dxa"/>
            <w:tcBorders>
              <w:bottom w:val="nil"/>
            </w:tcBorders>
            <w:shd w:val="clear" w:color="auto" w:fill="FFFFFF" w:themeFill="background1"/>
            <w:vAlign w:val="center"/>
          </w:tcPr>
          <w:p w14:paraId="07A8F1AE" w14:textId="175F88B7" w:rsidR="006F4AEA" w:rsidRPr="006F4AEA" w:rsidRDefault="001E165D" w:rsidP="001E165D">
            <w:pPr>
              <w:pStyle w:val="TableText"/>
              <w:ind w:left="0"/>
              <w:rPr>
                <w:b/>
                <w:color w:val="51247A" w:themeColor="accent1"/>
              </w:rPr>
            </w:pPr>
            <w:r>
              <w:rPr>
                <w:b/>
                <w:color w:val="51247A" w:themeColor="accent1"/>
              </w:rPr>
              <w:t>13</w:t>
            </w:r>
          </w:p>
        </w:tc>
        <w:tc>
          <w:tcPr>
            <w:tcW w:w="8789" w:type="dxa"/>
            <w:tcBorders>
              <w:bottom w:val="nil"/>
            </w:tcBorders>
            <w:shd w:val="clear" w:color="auto" w:fill="FFFFFF" w:themeFill="background1"/>
            <w:vAlign w:val="center"/>
          </w:tcPr>
          <w:p w14:paraId="774C5A0D" w14:textId="77777777" w:rsidR="006F4AEA" w:rsidRPr="005676D9" w:rsidRDefault="006F4AEA" w:rsidP="001E165D">
            <w:pPr>
              <w:pStyle w:val="TableText"/>
              <w:ind w:left="0"/>
            </w:pPr>
            <w:r w:rsidRPr="006F4AEA">
              <w:rPr>
                <w:b/>
                <w:color w:val="51247A" w:themeColor="accent1"/>
              </w:rPr>
              <w:t>RENEWALS / EXTENSIONS / VARIATIONS:</w:t>
            </w:r>
            <w:r w:rsidRPr="006F4AEA">
              <w:rPr>
                <w:color w:val="51247A" w:themeColor="accent1"/>
              </w:rPr>
              <w:t xml:space="preserve"> </w:t>
            </w:r>
            <w:r w:rsidRPr="002A155C">
              <w:rPr>
                <w:b/>
              </w:rPr>
              <w:t>Is this an extension, renewal or variation?</w:t>
            </w:r>
            <w:r w:rsidRPr="006C3D11">
              <w:rPr>
                <w:i/>
              </w:rPr>
              <w:t xml:space="preserve"> If so, </w:t>
            </w:r>
            <w:r>
              <w:rPr>
                <w:i/>
              </w:rPr>
              <w:t>consider if the terms are still appropriate and if any changes are needed.</w:t>
            </w:r>
          </w:p>
        </w:tc>
        <w:tc>
          <w:tcPr>
            <w:tcW w:w="709" w:type="dxa"/>
            <w:tcBorders>
              <w:bottom w:val="nil"/>
            </w:tcBorders>
            <w:vAlign w:val="center"/>
          </w:tcPr>
          <w:p w14:paraId="4727AD9E" w14:textId="77777777" w:rsidR="006F4AEA" w:rsidRPr="005676D9"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1398010354"/>
                <w14:checkbox>
                  <w14:checked w14:val="0"/>
                  <w14:checkedState w14:val="00FC" w14:font="Wingdings"/>
                  <w14:uncheckedState w14:val="2610" w14:font="MS Gothic"/>
                </w14:checkbox>
              </w:sdtPr>
              <w:sdtEndPr/>
              <w:sdtContent>
                <w:r w:rsidR="006F4AEA" w:rsidRPr="00BF6446">
                  <w:rPr>
                    <w:rFonts w:ascii="Segoe UI Symbol" w:eastAsia="MS Gothic" w:hAnsi="Segoe UI Symbol" w:cs="Segoe UI Symbol"/>
                    <w:sz w:val="28"/>
                    <w:szCs w:val="28"/>
                  </w:rPr>
                  <w:t>☐</w:t>
                </w:r>
              </w:sdtContent>
            </w:sdt>
          </w:p>
        </w:tc>
        <w:tc>
          <w:tcPr>
            <w:tcW w:w="708" w:type="dxa"/>
            <w:tcBorders>
              <w:bottom w:val="nil"/>
            </w:tcBorders>
            <w:vAlign w:val="center"/>
          </w:tcPr>
          <w:p w14:paraId="583C5AD7" w14:textId="77777777" w:rsidR="006F4AEA" w:rsidRPr="006F5044"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533159713"/>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r>
      <w:tr w:rsidR="006F4AEA" w:rsidRPr="006F5044" w14:paraId="55C7D307" w14:textId="77777777" w:rsidTr="001E165D">
        <w:tc>
          <w:tcPr>
            <w:tcW w:w="567" w:type="dxa"/>
            <w:shd w:val="clear" w:color="auto" w:fill="FFFFFF" w:themeFill="background1"/>
            <w:vAlign w:val="center"/>
          </w:tcPr>
          <w:p w14:paraId="2AFE5DA4" w14:textId="271C61E9" w:rsidR="006F4AEA" w:rsidRPr="006F4AEA" w:rsidRDefault="001E165D" w:rsidP="001E165D">
            <w:pPr>
              <w:pStyle w:val="TableText"/>
              <w:ind w:left="0"/>
              <w:rPr>
                <w:b/>
                <w:color w:val="51247A" w:themeColor="accent1"/>
              </w:rPr>
            </w:pPr>
            <w:r>
              <w:rPr>
                <w:b/>
                <w:color w:val="51247A" w:themeColor="accent1"/>
              </w:rPr>
              <w:t>14</w:t>
            </w:r>
          </w:p>
        </w:tc>
        <w:tc>
          <w:tcPr>
            <w:tcW w:w="8789" w:type="dxa"/>
            <w:shd w:val="clear" w:color="auto" w:fill="FFFFFF" w:themeFill="background1"/>
            <w:vAlign w:val="center"/>
          </w:tcPr>
          <w:p w14:paraId="7B5B3630" w14:textId="77777777" w:rsidR="006F4AEA" w:rsidRPr="005676D9" w:rsidRDefault="006F4AEA" w:rsidP="00441662">
            <w:pPr>
              <w:pStyle w:val="TableText"/>
              <w:spacing w:before="0" w:after="0"/>
              <w:ind w:left="0"/>
            </w:pPr>
            <w:r w:rsidRPr="006F4AEA">
              <w:rPr>
                <w:b/>
                <w:color w:val="51247A" w:themeColor="accent1"/>
              </w:rPr>
              <w:t>LEGAL ADVICE:</w:t>
            </w:r>
            <w:r w:rsidRPr="006F4AEA">
              <w:rPr>
                <w:color w:val="51247A" w:themeColor="accent1"/>
              </w:rPr>
              <w:t xml:space="preserve"> </w:t>
            </w:r>
            <w:r w:rsidRPr="002A155C">
              <w:rPr>
                <w:b/>
              </w:rPr>
              <w:t>Did you obtain advice from Legal Services?</w:t>
            </w:r>
          </w:p>
        </w:tc>
        <w:tc>
          <w:tcPr>
            <w:tcW w:w="709" w:type="dxa"/>
            <w:vAlign w:val="center"/>
          </w:tcPr>
          <w:p w14:paraId="753AD8EE" w14:textId="77777777" w:rsidR="006F4AEA" w:rsidRPr="00BF6446"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1944184958"/>
                <w14:checkbox>
                  <w14:checked w14:val="0"/>
                  <w14:checkedState w14:val="00FC" w14:font="Wingdings"/>
                  <w14:uncheckedState w14:val="2610" w14:font="MS Gothic"/>
                </w14:checkbox>
              </w:sdtPr>
              <w:sdtEndPr/>
              <w:sdtContent>
                <w:r w:rsidR="006F4AEA" w:rsidRPr="00BF6446">
                  <w:rPr>
                    <w:rFonts w:ascii="Segoe UI Symbol" w:eastAsia="MS Gothic" w:hAnsi="Segoe UI Symbol" w:cs="Segoe UI Symbol"/>
                    <w:sz w:val="28"/>
                    <w:szCs w:val="28"/>
                  </w:rPr>
                  <w:t>☐</w:t>
                </w:r>
              </w:sdtContent>
            </w:sdt>
          </w:p>
        </w:tc>
        <w:tc>
          <w:tcPr>
            <w:tcW w:w="708" w:type="dxa"/>
            <w:vAlign w:val="center"/>
          </w:tcPr>
          <w:p w14:paraId="6DA10849" w14:textId="77777777" w:rsidR="006F4AEA" w:rsidRPr="006F5044" w:rsidRDefault="00A565A1" w:rsidP="00BA7CAE">
            <w:pPr>
              <w:pStyle w:val="TableText0"/>
              <w:spacing w:before="40" w:after="40"/>
              <w:jc w:val="center"/>
              <w:rPr>
                <w:rFonts w:ascii="Arial" w:hAnsi="Arial" w:cs="Arial"/>
                <w:sz w:val="28"/>
                <w:szCs w:val="28"/>
              </w:rPr>
            </w:pPr>
            <w:sdt>
              <w:sdtPr>
                <w:rPr>
                  <w:rFonts w:ascii="Arial" w:hAnsi="Arial" w:cs="Arial"/>
                  <w:sz w:val="28"/>
                  <w:szCs w:val="28"/>
                </w:rPr>
                <w:id w:val="-702402850"/>
                <w14:checkbox>
                  <w14:checked w14:val="0"/>
                  <w14:checkedState w14:val="00FC" w14:font="Wingdings"/>
                  <w14:uncheckedState w14:val="2610" w14:font="MS Gothic"/>
                </w14:checkbox>
              </w:sdtPr>
              <w:sdtEndPr/>
              <w:sdtContent>
                <w:r w:rsidR="006F4AEA" w:rsidRPr="006F5044">
                  <w:rPr>
                    <w:rFonts w:ascii="Segoe UI Symbol" w:eastAsia="MS Gothic" w:hAnsi="Segoe UI Symbol" w:cs="Segoe UI Symbol"/>
                    <w:sz w:val="28"/>
                    <w:szCs w:val="28"/>
                  </w:rPr>
                  <w:t>☐</w:t>
                </w:r>
              </w:sdtContent>
            </w:sdt>
          </w:p>
        </w:tc>
      </w:tr>
    </w:tbl>
    <w:p w14:paraId="44ED3696" w14:textId="77777777" w:rsidR="00BC3559" w:rsidRDefault="00BC3559" w:rsidP="00326195">
      <w:pPr>
        <w:pStyle w:val="Heading1"/>
        <w:ind w:left="-567" w:right="-568"/>
      </w:pPr>
      <w:r>
        <w:lastRenderedPageBreak/>
        <w:t>Guidelines</w:t>
      </w:r>
    </w:p>
    <w:p w14:paraId="28C1E1CB" w14:textId="4E5C00BB" w:rsidR="00BC3559" w:rsidRDefault="00BC3559" w:rsidP="00326195">
      <w:pPr>
        <w:pStyle w:val="BodyText"/>
        <w:ind w:left="-567" w:right="-568"/>
      </w:pPr>
      <w:r>
        <w:t xml:space="preserve">The checklist is for low risk software and data licence agreements for under </w:t>
      </w:r>
      <w:r w:rsidRPr="00634C3C">
        <w:t>$100,000</w:t>
      </w:r>
      <w:r>
        <w:t xml:space="preserve"> over their expected life.  This includes online subscriptions and other cloud services.  If your licence does not fit this description you should consult with </w:t>
      </w:r>
      <w:hyperlink r:id="rId15" w:history="1">
        <w:r w:rsidRPr="00B3610C">
          <w:rPr>
            <w:rStyle w:val="Hyperlink"/>
          </w:rPr>
          <w:t>ICT Procurement</w:t>
        </w:r>
      </w:hyperlink>
      <w:r>
        <w:t>.  Free or low value is not necessarily low risk e.g. if a licence is usually expensive or has unusual terms.</w:t>
      </w:r>
    </w:p>
    <w:p w14:paraId="30FFF446" w14:textId="77777777" w:rsidR="00BC3559" w:rsidRPr="008B791E" w:rsidRDefault="00BC3559" w:rsidP="00326195">
      <w:pPr>
        <w:pStyle w:val="Heading2"/>
        <w:ind w:left="-567" w:right="-568"/>
      </w:pPr>
      <w:r w:rsidRPr="008B791E">
        <w:t>Reviewing terms objectively</w:t>
      </w:r>
    </w:p>
    <w:p w14:paraId="66205187" w14:textId="56867920" w:rsidR="00BC3559" w:rsidRDefault="00BC3559" w:rsidP="00326195">
      <w:pPr>
        <w:pStyle w:val="BodyText"/>
        <w:ind w:left="-567" w:right="-568"/>
      </w:pPr>
      <w:r>
        <w:t>You should review the licence terms objectively.  Consider what they actually say, not what you want them to say.  You should not assume the vendor understands how UQ intends to use the licensed materials.  If they are used in ways that are not permitted, or by unauthorised users, UQ could be liable for breach of contract and copyright infringement.</w:t>
      </w:r>
    </w:p>
    <w:p w14:paraId="00E4A1CE" w14:textId="77777777" w:rsidR="00BC3559" w:rsidRDefault="00BC3559" w:rsidP="00326195">
      <w:pPr>
        <w:pStyle w:val="Heading2"/>
        <w:ind w:left="-567" w:right="-568"/>
      </w:pPr>
      <w:bookmarkStart w:id="1" w:name="License_Fundamentals"/>
      <w:r>
        <w:t>Licence fundamentals</w:t>
      </w:r>
    </w:p>
    <w:bookmarkEnd w:id="1"/>
    <w:p w14:paraId="0FEC96BF" w14:textId="77777777" w:rsidR="00BC3559" w:rsidRPr="004169E7" w:rsidRDefault="00BC3559" w:rsidP="00326195">
      <w:pPr>
        <w:pStyle w:val="Heading3"/>
        <w:ind w:left="-567" w:right="-568"/>
      </w:pPr>
      <w:r>
        <w:t>Fixing f</w:t>
      </w:r>
      <w:r w:rsidRPr="004169E7">
        <w:t>undamentals</w:t>
      </w:r>
    </w:p>
    <w:p w14:paraId="31C2759D" w14:textId="42164172" w:rsidR="00BC3559" w:rsidRDefault="00BC3559" w:rsidP="00326195">
      <w:pPr>
        <w:pStyle w:val="BodyText"/>
        <w:ind w:left="-567" w:right="-568"/>
      </w:pPr>
      <w:r>
        <w:t>If there are fundamental errors or important terms are unclear, you should seek changes.  Many vendors will agree changes, particularly if they can be inserted in ‘ordering documents’ (e.g. orders, quotes or schedules) rather than changing the vendor’s standard ter</w:t>
      </w:r>
      <w:r w:rsidRPr="00F820EB">
        <w:t xml:space="preserve">ms and conditions. </w:t>
      </w:r>
      <w:r>
        <w:t xml:space="preserve"> You should ensure those ordering documents can override the standard terms</w:t>
      </w:r>
      <w:r w:rsidRPr="00F820EB">
        <w:t>.</w:t>
      </w:r>
      <w:r>
        <w:t xml:space="preserve">  Agreements often say which document takes precedence over another in the case of inconsistencies.</w:t>
      </w:r>
    </w:p>
    <w:p w14:paraId="47391F24" w14:textId="457F042F" w:rsidR="00BC3559" w:rsidRDefault="00BC3559" w:rsidP="00326195">
      <w:pPr>
        <w:pStyle w:val="BodyText"/>
        <w:ind w:left="-567" w:right="-568"/>
      </w:pPr>
      <w:r>
        <w:t>The most common fundamental errors are found in pricing, product descriptions, licence types or numbers, party details, licence periods or the description of authorised users (e.g. often the terms licence employees and prohibit use by “third parties”, but UQ students, visiting academics and contractors are all third parties).</w:t>
      </w:r>
    </w:p>
    <w:p w14:paraId="756C83F0" w14:textId="77777777" w:rsidR="00BC3559" w:rsidRPr="00A73CA7" w:rsidRDefault="00BC3559" w:rsidP="00326195">
      <w:pPr>
        <w:pStyle w:val="Heading3"/>
        <w:ind w:left="-567" w:right="-568"/>
      </w:pPr>
      <w:r>
        <w:t>Identifying the terms</w:t>
      </w:r>
    </w:p>
    <w:p w14:paraId="4AB33882" w14:textId="5C563F01" w:rsidR="00BC3559" w:rsidRDefault="00BC3559" w:rsidP="00326195">
      <w:pPr>
        <w:pStyle w:val="BodyText"/>
        <w:ind w:left="-567" w:right="-568"/>
      </w:pPr>
      <w:r>
        <w:t>You need to gather together and review all applicable terms.</w:t>
      </w:r>
    </w:p>
    <w:p w14:paraId="024D0D69" w14:textId="630B2601" w:rsidR="00BC3559" w:rsidRPr="00BC3559" w:rsidRDefault="00BC3559" w:rsidP="00326195">
      <w:pPr>
        <w:pStyle w:val="BodyText"/>
        <w:ind w:left="-567" w:right="-568"/>
      </w:pPr>
      <w:r>
        <w:t>Vendors often send quotes or order forms that do not include key licence documents.  There may be schedules or other attachments setting out key details (e.g. parties, product, price, licence types/numbers, duration etc.).  Often standard terms and conditions and other documents are incorporated only by reference (e.g. via URL link), including product specific terms, support terms, SLAs and policies.</w:t>
      </w:r>
    </w:p>
    <w:p w14:paraId="61082E3D" w14:textId="77777777" w:rsidR="00BC3559" w:rsidRPr="00F437A1" w:rsidRDefault="00BC3559" w:rsidP="00326195">
      <w:pPr>
        <w:pStyle w:val="Heading3"/>
        <w:ind w:left="-567" w:right="-568"/>
      </w:pPr>
      <w:r>
        <w:t>Key licence rights and restrictions</w:t>
      </w:r>
    </w:p>
    <w:p w14:paraId="11E2C3BD" w14:textId="77777777" w:rsidR="00BC3559" w:rsidRDefault="00BC3559" w:rsidP="00326195">
      <w:pPr>
        <w:pStyle w:val="BodyText"/>
        <w:ind w:left="-567" w:right="-568"/>
      </w:pPr>
      <w:r>
        <w:t>When assessing the licence rights UQ needs against what the licence says, some key issues to consider include:</w:t>
      </w:r>
    </w:p>
    <w:p w14:paraId="437BF184" w14:textId="77777777" w:rsidR="00BC3559" w:rsidRPr="00326195" w:rsidRDefault="00BC3559" w:rsidP="00326195">
      <w:pPr>
        <w:pStyle w:val="ListBullet0"/>
      </w:pPr>
      <w:r w:rsidRPr="00326195">
        <w:t>Purpose: how will UQ use the software? Is it for ‘commercial’ or ‘non-commercial’ purposes, ‘internal business purposes’ or for ‘academic’, ‘teaching’ and/or ‘research’ purposes.  The context and drafting is important.  If UQ is doing research with industry partners UQ needs to ensure the licence permits it (e.g. it may or may not be ‘commercial research’).</w:t>
      </w:r>
    </w:p>
    <w:p w14:paraId="04ED3637" w14:textId="77777777" w:rsidR="00BC3559" w:rsidRPr="00326195" w:rsidRDefault="00BC3559" w:rsidP="00326195">
      <w:pPr>
        <w:pStyle w:val="ListBullet0"/>
      </w:pPr>
      <w:r w:rsidRPr="00326195">
        <w:t>Duration: what is the licence period? Does it automatically renew? Is the licence perpetual or fixed term?</w:t>
      </w:r>
    </w:p>
    <w:p w14:paraId="1B45869E" w14:textId="77777777" w:rsidR="00BC3559" w:rsidRPr="00326195" w:rsidRDefault="00BC3559" w:rsidP="00326195">
      <w:pPr>
        <w:pStyle w:val="ListBullet0"/>
      </w:pPr>
      <w:r w:rsidRPr="00326195">
        <w:t>Users: who are the users? Employees, students, contractors, research partners, honorary or visiting academics, campus visitors etc.?  Except for employees, these are all third parties and licenses often prohibit use by or for third parties.</w:t>
      </w:r>
    </w:p>
    <w:p w14:paraId="554A1C6F" w14:textId="77777777" w:rsidR="00BC3559" w:rsidRPr="00326195" w:rsidRDefault="00BC3559" w:rsidP="00326195">
      <w:pPr>
        <w:pStyle w:val="ListBullet0"/>
      </w:pPr>
      <w:r w:rsidRPr="00326195">
        <w:t>Permissions / licence types: what does UQ need?  e.g. named user, concurrent, per device, server, set number, staff FTE count, unlimited users etc.?</w:t>
      </w:r>
    </w:p>
    <w:p w14:paraId="1731C1A4" w14:textId="77777777" w:rsidR="00BC3559" w:rsidRPr="00326195" w:rsidRDefault="00BC3559" w:rsidP="00326195">
      <w:pPr>
        <w:pStyle w:val="ListBullet0"/>
      </w:pPr>
      <w:r w:rsidRPr="00326195">
        <w:t>Location / territory: where will the software be used?  Can it be used off campus (e.g. at home, interstate or overseas)?</w:t>
      </w:r>
    </w:p>
    <w:p w14:paraId="6ADE78F5" w14:textId="77777777" w:rsidR="00BC3559" w:rsidRPr="00326195" w:rsidRDefault="00BC3559" w:rsidP="00326195">
      <w:pPr>
        <w:pStyle w:val="ListBullet0"/>
      </w:pPr>
      <w:r w:rsidRPr="00326195">
        <w:lastRenderedPageBreak/>
        <w:t>Implementation: where and how can the software or data be deployed and distributed?  Can it be deployed on virtual machines?  On a central server?  Can UQ provide access to users over intranets or the internet?</w:t>
      </w:r>
    </w:p>
    <w:p w14:paraId="73D33AAC" w14:textId="77777777" w:rsidR="00BC3559" w:rsidRPr="00326195" w:rsidRDefault="00BC3559" w:rsidP="00326195">
      <w:pPr>
        <w:pStyle w:val="ListBullet0"/>
      </w:pPr>
      <w:r w:rsidRPr="00326195">
        <w:t>Confidentiality: often UQ is prohibited from disclosing licensed materials to third parties (e.g. UQ students, contractors, research partners, peer reviewers etc.) or keeping licensed materials after termination.  What does UQ need?</w:t>
      </w:r>
    </w:p>
    <w:p w14:paraId="097ED971" w14:textId="77777777" w:rsidR="00BC3559" w:rsidRPr="00326195" w:rsidRDefault="00BC3559" w:rsidP="00326195">
      <w:pPr>
        <w:pStyle w:val="ListBullet0"/>
      </w:pPr>
      <w:r w:rsidRPr="00326195">
        <w:t>Export control: these are common clauses preventing UQ re-exporting software to prohibited countries and users.  They can cover travel and access overseas or prohibit use in Australia by UQ staff or students who are citizens of certain countries (e.g. Iran, North Korea etc.).  If you need assistance, UQ has experts who advise on export control regulation.</w:t>
      </w:r>
    </w:p>
    <w:p w14:paraId="62686864" w14:textId="77777777" w:rsidR="00BC3559" w:rsidRPr="00BA6C2B" w:rsidRDefault="00BC3559" w:rsidP="00326195">
      <w:pPr>
        <w:pStyle w:val="Heading2"/>
        <w:ind w:left="-567" w:right="-568"/>
      </w:pPr>
      <w:bookmarkStart w:id="2" w:name="Privacy"/>
      <w:r>
        <w:t>Cloud Services</w:t>
      </w:r>
    </w:p>
    <w:p w14:paraId="074282F6" w14:textId="03DEB50F" w:rsidR="00BC3559" w:rsidRDefault="00BC3559" w:rsidP="00326195">
      <w:pPr>
        <w:pStyle w:val="BodyText"/>
        <w:ind w:left="-567" w:right="-568"/>
      </w:pPr>
      <w:r>
        <w:t xml:space="preserve">If your licence is for an online subscription service or some other cloud service, you need to take additional care.  Consider relevant UQ ICT policies, including </w:t>
      </w:r>
      <w:hyperlink r:id="rId16" w:history="1">
        <w:r w:rsidRPr="00E250AC">
          <w:rPr>
            <w:rStyle w:val="Hyperlink"/>
          </w:rPr>
          <w:t>applicable standards</w:t>
        </w:r>
      </w:hyperlink>
      <w:r>
        <w:t xml:space="preserve"> and relevant ICT Procurement Framework requirements.  If needed, you can consult with the </w:t>
      </w:r>
      <w:hyperlink r:id="rId17" w:history="1">
        <w:r>
          <w:rPr>
            <w:rStyle w:val="Hyperlink"/>
          </w:rPr>
          <w:t>Licensing Sub-Category Manager</w:t>
        </w:r>
      </w:hyperlink>
      <w:r>
        <w:t>.</w:t>
      </w:r>
    </w:p>
    <w:p w14:paraId="1DA6C048" w14:textId="77777777" w:rsidR="00BC3559" w:rsidRDefault="00BC3559" w:rsidP="00326195">
      <w:pPr>
        <w:pStyle w:val="BodyText"/>
        <w:ind w:left="-567" w:right="-568"/>
      </w:pPr>
      <w:r>
        <w:t>Key issues for cloud services include:</w:t>
      </w:r>
    </w:p>
    <w:p w14:paraId="212B4461" w14:textId="77777777" w:rsidR="00BC3559" w:rsidRPr="00326195" w:rsidRDefault="00BC3559" w:rsidP="00326195">
      <w:pPr>
        <w:pStyle w:val="ListBullet0"/>
      </w:pPr>
      <w:r w:rsidRPr="00326195">
        <w:t>loss of or unauthorised access to UQ’s data;</w:t>
      </w:r>
    </w:p>
    <w:p w14:paraId="13EAF5E3" w14:textId="77777777" w:rsidR="00BC3559" w:rsidRPr="00326195" w:rsidRDefault="00BC3559" w:rsidP="00326195">
      <w:pPr>
        <w:pStyle w:val="ListBullet0"/>
      </w:pPr>
      <w:r w:rsidRPr="00326195">
        <w:t>UQ’s access to its data (given a third party is storing it and controls UQ’s access); and</w:t>
      </w:r>
    </w:p>
    <w:p w14:paraId="51863203" w14:textId="2E7221F8" w:rsidR="00BC3559" w:rsidRPr="00326195" w:rsidRDefault="00BC3559" w:rsidP="00326195">
      <w:pPr>
        <w:pStyle w:val="ListBullet0"/>
      </w:pPr>
      <w:r w:rsidRPr="00326195">
        <w:t>privacy compliance (given a third party is processing / storing personal information).</w:t>
      </w:r>
    </w:p>
    <w:p w14:paraId="2439852B" w14:textId="77777777" w:rsidR="00BC3559" w:rsidRPr="00BA6C2B" w:rsidRDefault="00BC3559" w:rsidP="00326195">
      <w:pPr>
        <w:pStyle w:val="Heading2"/>
        <w:ind w:left="-567" w:right="-568"/>
      </w:pPr>
      <w:r w:rsidRPr="00BA6C2B">
        <w:t>Privacy</w:t>
      </w:r>
    </w:p>
    <w:bookmarkEnd w:id="2"/>
    <w:p w14:paraId="4DB6818F" w14:textId="77777777" w:rsidR="00BC3559" w:rsidRPr="00327E60" w:rsidRDefault="00BC3559" w:rsidP="00326195">
      <w:pPr>
        <w:pStyle w:val="BodyText"/>
        <w:ind w:left="-567" w:right="-568"/>
      </w:pPr>
      <w:r w:rsidRPr="00327E60">
        <w:t>If the software</w:t>
      </w:r>
      <w:r>
        <w:t xml:space="preserve"> or vendor</w:t>
      </w:r>
      <w:r w:rsidRPr="00327E60">
        <w:t xml:space="preserve"> will </w:t>
      </w:r>
      <w:r>
        <w:t xml:space="preserve">access, </w:t>
      </w:r>
      <w:r w:rsidRPr="00327E60">
        <w:t>collect, store or process personal information</w:t>
      </w:r>
      <w:r>
        <w:t>,</w:t>
      </w:r>
      <w:r w:rsidRPr="00327E60">
        <w:t xml:space="preserve"> </w:t>
      </w:r>
      <w:r>
        <w:t>y</w:t>
      </w:r>
      <w:r w:rsidRPr="00327E60">
        <w:t xml:space="preserve">ou </w:t>
      </w:r>
      <w:r>
        <w:t xml:space="preserve">should </w:t>
      </w:r>
      <w:r w:rsidRPr="00327E60">
        <w:t xml:space="preserve">consider the following and </w:t>
      </w:r>
      <w:r>
        <w:t xml:space="preserve">determine if </w:t>
      </w:r>
      <w:r w:rsidRPr="00327E60">
        <w:t xml:space="preserve">the terms are </w:t>
      </w:r>
      <w:r>
        <w:t>appropriate</w:t>
      </w:r>
      <w:r w:rsidRPr="00327E60">
        <w:t>:</w:t>
      </w:r>
    </w:p>
    <w:p w14:paraId="6D953AF7" w14:textId="77777777" w:rsidR="00BC3559" w:rsidRPr="00326195" w:rsidRDefault="00BC3559" w:rsidP="00326195">
      <w:pPr>
        <w:pStyle w:val="ListBullet0"/>
      </w:pPr>
      <w:r w:rsidRPr="00326195">
        <w:t>Can UQ manage privacy compliance without reliance on the contract terms?</w:t>
      </w:r>
    </w:p>
    <w:p w14:paraId="110404C7" w14:textId="77777777" w:rsidR="00BC3559" w:rsidRPr="00326195" w:rsidRDefault="00BC3559" w:rsidP="00326195">
      <w:pPr>
        <w:pStyle w:val="ListBullet0"/>
      </w:pPr>
      <w:r w:rsidRPr="00326195">
        <w:t>Will personal information be accessed or transferred outside Australia?</w:t>
      </w:r>
    </w:p>
    <w:p w14:paraId="19953F4F" w14:textId="601E89B9" w:rsidR="00BC3559" w:rsidRPr="00326195" w:rsidRDefault="00BC3559" w:rsidP="00326195">
      <w:pPr>
        <w:pStyle w:val="ListBullet0"/>
      </w:pPr>
      <w:r w:rsidRPr="00326195">
        <w:t>Is the risk of unauthorised access, use or disclosure low, moderate or high?</w:t>
      </w:r>
    </w:p>
    <w:p w14:paraId="5F9558B9" w14:textId="3AEB9DBB" w:rsidR="00BC3559" w:rsidRDefault="00BC3559" w:rsidP="00326195">
      <w:pPr>
        <w:pStyle w:val="BodyText"/>
        <w:ind w:left="-567" w:right="-568"/>
      </w:pPr>
      <w:r>
        <w:t xml:space="preserve">Under the </w:t>
      </w:r>
      <w:r w:rsidRPr="005676D9">
        <w:rPr>
          <w:i/>
        </w:rPr>
        <w:t>Information Privacy Act 2009</w:t>
      </w:r>
      <w:r>
        <w:t xml:space="preserve"> (Qld) (‘</w:t>
      </w:r>
      <w:r w:rsidRPr="005676D9">
        <w:rPr>
          <w:b/>
        </w:rPr>
        <w:t>IP Act</w:t>
      </w:r>
      <w:r>
        <w:t xml:space="preserve">’), if the vendor will deal with personal information for UQ (e.g. collect, process or store it for UQ or transfer it to UQ) then UQ </w:t>
      </w:r>
      <w:r w:rsidRPr="004C0B90">
        <w:t xml:space="preserve">must take all reasonable steps to ensure </w:t>
      </w:r>
      <w:r>
        <w:t xml:space="preserve">the vendor </w:t>
      </w:r>
      <w:r w:rsidRPr="004C0B90">
        <w:t xml:space="preserve">is required to comply with </w:t>
      </w:r>
      <w:r>
        <w:t xml:space="preserve">certain obligations under the Act </w:t>
      </w:r>
      <w:r w:rsidRPr="00CD08AD">
        <w:rPr>
          <w:i/>
        </w:rPr>
        <w:t>as if it were UQ</w:t>
      </w:r>
      <w:r>
        <w:t xml:space="preserve">.  If UQ does not </w:t>
      </w:r>
      <w:r w:rsidRPr="004C0B90">
        <w:t xml:space="preserve">take </w:t>
      </w:r>
      <w:r>
        <w:t xml:space="preserve">these </w:t>
      </w:r>
      <w:r w:rsidRPr="004C0B90">
        <w:t>steps</w:t>
      </w:r>
      <w:r>
        <w:t>, then UQ is responsible for the vendor’s noncompliance with those obligations under the IP Act.</w:t>
      </w:r>
    </w:p>
    <w:p w14:paraId="7772FF06" w14:textId="548BFB4F" w:rsidR="00BC3559" w:rsidRDefault="00BC3559" w:rsidP="00326195">
      <w:pPr>
        <w:pStyle w:val="BodyText"/>
        <w:ind w:left="-567" w:right="-568"/>
      </w:pPr>
      <w:r>
        <w:t xml:space="preserve">If </w:t>
      </w:r>
      <w:r w:rsidRPr="00FC2E82">
        <w:t xml:space="preserve">personal information </w:t>
      </w:r>
      <w:r>
        <w:t xml:space="preserve">will be processed or transferred </w:t>
      </w:r>
      <w:r w:rsidRPr="00FC2E82">
        <w:t>outside Australia</w:t>
      </w:r>
      <w:r>
        <w:t>, vendor terms are often inadequate and changes are needed to enable UQ to comply with the IP Act (by ensuring the vendor has appropriate privacy obligations).</w:t>
      </w:r>
    </w:p>
    <w:p w14:paraId="7040C1B1" w14:textId="17788F9B" w:rsidR="00BC3559" w:rsidRDefault="00BC3559" w:rsidP="00326195">
      <w:pPr>
        <w:pStyle w:val="BodyText"/>
        <w:ind w:left="-567" w:right="-568"/>
      </w:pPr>
      <w:r>
        <w:t>UQ may not need specific contract terms for privacy compliance if, for example, the system enables students to deal with the vendor under its terms and provide their information directly to the vendor (and the vendor is not transferring the personal information to UQ).  Specific contract terms are often needed if any personal information is processed or stored overseas.</w:t>
      </w:r>
    </w:p>
    <w:p w14:paraId="42B22BDB" w14:textId="27A0ACF4" w:rsidR="00BC3559" w:rsidRDefault="00BC3559" w:rsidP="00DE4BA7">
      <w:pPr>
        <w:pStyle w:val="BodyText"/>
        <w:ind w:left="-567" w:right="-568"/>
      </w:pPr>
      <w:r>
        <w:t>You can discuss the issues with UQ’s RTI &amp; Privacy Coordinator.  Legal Services can assist if contract changes are needed.</w:t>
      </w:r>
    </w:p>
    <w:p w14:paraId="48493F02" w14:textId="77777777" w:rsidR="00BC3559" w:rsidRPr="00BA6C2B" w:rsidRDefault="00BC3559" w:rsidP="00326195">
      <w:pPr>
        <w:pStyle w:val="Heading2"/>
        <w:ind w:left="-567" w:right="-568"/>
      </w:pPr>
      <w:bookmarkStart w:id="3" w:name="Unusual_Terms"/>
      <w:r w:rsidRPr="00BA6C2B">
        <w:t xml:space="preserve">Unusual </w:t>
      </w:r>
      <w:r>
        <w:t>t</w:t>
      </w:r>
      <w:r w:rsidRPr="00BA6C2B">
        <w:t>erms</w:t>
      </w:r>
    </w:p>
    <w:bookmarkEnd w:id="3"/>
    <w:p w14:paraId="39986594" w14:textId="526FC3C7" w:rsidR="00BC3559" w:rsidRPr="00E8228F" w:rsidRDefault="00BC3559" w:rsidP="00326195">
      <w:pPr>
        <w:pStyle w:val="BodyText"/>
        <w:ind w:left="-567" w:right="-568"/>
      </w:pPr>
      <w:r>
        <w:t>‘U</w:t>
      </w:r>
      <w:r w:rsidRPr="00E8228F">
        <w:t>nusual terms</w:t>
      </w:r>
      <w:r>
        <w:t>’</w:t>
      </w:r>
      <w:r w:rsidRPr="00E8228F">
        <w:t xml:space="preserve"> </w:t>
      </w:r>
      <w:r>
        <w:t>typically relate to UQ’s intellectual property (e.g. research, publications, software developments or outputs).  They go beyond just covering UQ’s use of the vendor’s software or data.</w:t>
      </w:r>
    </w:p>
    <w:p w14:paraId="415935E2" w14:textId="56430792" w:rsidR="00BC3559" w:rsidRDefault="00BC3559" w:rsidP="00326195">
      <w:pPr>
        <w:pStyle w:val="BodyText"/>
        <w:ind w:left="-567" w:right="-568"/>
      </w:pPr>
      <w:r>
        <w:t>They can expose UQ to significant risks and should generally be removed.  Vendors will often delete them or negotiate changes.  ICT Contract sub-d</w:t>
      </w:r>
      <w:r w:rsidRPr="00B23153">
        <w:t xml:space="preserve">elegates </w:t>
      </w:r>
      <w:r>
        <w:t xml:space="preserve">should be made </w:t>
      </w:r>
      <w:r w:rsidRPr="00B23153">
        <w:t xml:space="preserve">aware of </w:t>
      </w:r>
      <w:r>
        <w:t xml:space="preserve">any </w:t>
      </w:r>
      <w:r w:rsidRPr="00B23153">
        <w:t>risks.</w:t>
      </w:r>
    </w:p>
    <w:p w14:paraId="167503A8" w14:textId="77777777" w:rsidR="00BC3559" w:rsidRDefault="00BC3559" w:rsidP="00326195">
      <w:pPr>
        <w:pStyle w:val="BodyText"/>
        <w:ind w:left="-567" w:right="-568"/>
      </w:pPr>
      <w:r>
        <w:t>They include terms requiring UQ to:</w:t>
      </w:r>
    </w:p>
    <w:p w14:paraId="221A14BB" w14:textId="77777777" w:rsidR="00BC3559" w:rsidRPr="00326195" w:rsidRDefault="00BC3559" w:rsidP="00326195">
      <w:pPr>
        <w:pStyle w:val="ListBullet0"/>
      </w:pPr>
      <w:r w:rsidRPr="00326195">
        <w:lastRenderedPageBreak/>
        <w:t>share, licence or assign its research, publications or other IP (including terms allowing vendors to use UQ’s research) – these can be particularly risky for UQ;</w:t>
      </w:r>
    </w:p>
    <w:p w14:paraId="5D9A1576" w14:textId="77777777" w:rsidR="00BC3559" w:rsidRPr="00326195" w:rsidRDefault="00BC3559" w:rsidP="00326195">
      <w:pPr>
        <w:pStyle w:val="ListBullet0"/>
      </w:pPr>
      <w:r w:rsidRPr="00326195">
        <w:t>seek vendor approval to publish papers;</w:t>
      </w:r>
    </w:p>
    <w:p w14:paraId="7B362D4D" w14:textId="77777777" w:rsidR="00BC3559" w:rsidRPr="00326195" w:rsidRDefault="00BC3559" w:rsidP="00326195">
      <w:pPr>
        <w:pStyle w:val="ListBullet0"/>
      </w:pPr>
      <w:r w:rsidRPr="00326195">
        <w:t>provide research or academic papers to the vendor (including before publication);</w:t>
      </w:r>
    </w:p>
    <w:p w14:paraId="6874D037" w14:textId="77777777" w:rsidR="00BC3559" w:rsidRPr="00326195" w:rsidRDefault="00BC3559" w:rsidP="00326195">
      <w:pPr>
        <w:pStyle w:val="ListBullet0"/>
      </w:pPr>
      <w:r w:rsidRPr="00326195">
        <w:t>promote the software or vendor (UQ merely acknowledging use of the licensed material is generally acceptable but anything beyond that should be discussed with UQ finance to check if there are issues e.g. taxable supplies).</w:t>
      </w:r>
    </w:p>
    <w:p w14:paraId="262963F6" w14:textId="7A0359B1" w:rsidR="00BC3559" w:rsidRDefault="00BC3559" w:rsidP="00326195">
      <w:pPr>
        <w:pStyle w:val="BodyText"/>
        <w:ind w:left="-567" w:right="-568"/>
      </w:pPr>
      <w:r>
        <w:t xml:space="preserve">Less obvious language like UQ “sharing” or “allowing” use still equates to UQ licensing its IP to the vendor. Terms such as “assign” or “transfer” can transfer ownership of UQ’s IP to the vendor. ‘Feedback’ clauses are often acceptable but </w:t>
      </w:r>
      <w:r w:rsidRPr="00B23153">
        <w:t>should be reviewed with care</w:t>
      </w:r>
      <w:r>
        <w:t xml:space="preserve"> to check they do not capture UQ IP.</w:t>
      </w:r>
    </w:p>
    <w:p w14:paraId="1CECA97D" w14:textId="77777777" w:rsidR="00BC3559" w:rsidRPr="00BA6C2B" w:rsidRDefault="00BC3559" w:rsidP="00326195">
      <w:pPr>
        <w:pStyle w:val="Heading2"/>
        <w:ind w:left="-567" w:right="-568"/>
      </w:pPr>
      <w:r w:rsidRPr="00BA6C2B">
        <w:t xml:space="preserve">Retention and </w:t>
      </w:r>
      <w:r>
        <w:t>d</w:t>
      </w:r>
      <w:r w:rsidRPr="00BA6C2B">
        <w:t xml:space="preserve">isclosure </w:t>
      </w:r>
      <w:r>
        <w:t>r</w:t>
      </w:r>
      <w:r w:rsidRPr="00BA6C2B">
        <w:t>ights</w:t>
      </w:r>
    </w:p>
    <w:p w14:paraId="277D6661" w14:textId="7835FFF9" w:rsidR="00BC3559" w:rsidRDefault="00BC3559" w:rsidP="00326195">
      <w:pPr>
        <w:pStyle w:val="BodyText"/>
        <w:ind w:left="-567" w:right="-568"/>
      </w:pPr>
      <w:r>
        <w:t xml:space="preserve">Who needs access?  </w:t>
      </w:r>
      <w:r w:rsidRPr="00637707">
        <w:t>Often confidentiality clause</w:t>
      </w:r>
      <w:r>
        <w:t>s</w:t>
      </w:r>
      <w:r w:rsidRPr="00637707">
        <w:t xml:space="preserve"> </w:t>
      </w:r>
      <w:r>
        <w:t xml:space="preserve">and other terms </w:t>
      </w:r>
      <w:r w:rsidRPr="00637707">
        <w:t xml:space="preserve">will not allow </w:t>
      </w:r>
      <w:r>
        <w:t>UQ to disclose licensed materials to third parties or to retain licensed materials after the agreement ends</w:t>
      </w:r>
      <w:r w:rsidRPr="00637707">
        <w:t>.</w:t>
      </w:r>
      <w:r>
        <w:t xml:space="preserve">  If UQ needs to, you might need changes.</w:t>
      </w:r>
    </w:p>
    <w:p w14:paraId="2F30DAB9" w14:textId="3DACE57B" w:rsidR="00BC3559" w:rsidRDefault="00BC3559" w:rsidP="00326195">
      <w:pPr>
        <w:pStyle w:val="BodyText"/>
        <w:ind w:left="-567" w:right="-568"/>
      </w:pPr>
      <w:r>
        <w:t>C</w:t>
      </w:r>
      <w:r w:rsidRPr="00F11CDD">
        <w:t xml:space="preserve">onfidentiality clauses </w:t>
      </w:r>
      <w:r>
        <w:t xml:space="preserve">that prohibit use by or disclosure to third parties may </w:t>
      </w:r>
      <w:r w:rsidRPr="00F11CDD">
        <w:t xml:space="preserve">not prevent use </w:t>
      </w:r>
      <w:r>
        <w:t xml:space="preserve">by students, contractors or others </w:t>
      </w:r>
      <w:r w:rsidRPr="00F11CDD">
        <w:t xml:space="preserve">if the terms are </w:t>
      </w:r>
      <w:r w:rsidRPr="00E6245F">
        <w:rPr>
          <w:i/>
        </w:rPr>
        <w:t>very clear</w:t>
      </w:r>
      <w:r w:rsidRPr="00F11CDD">
        <w:t xml:space="preserve"> elsewhere that </w:t>
      </w:r>
      <w:r>
        <w:t xml:space="preserve">they are allowed to </w:t>
      </w:r>
      <w:r w:rsidRPr="00F11CDD">
        <w:t xml:space="preserve">use </w:t>
      </w:r>
      <w:r>
        <w:t>the licensed materials</w:t>
      </w:r>
      <w:r w:rsidRPr="00F11CDD">
        <w:t>.</w:t>
      </w:r>
    </w:p>
    <w:p w14:paraId="3FE8D1B1" w14:textId="3C35E549" w:rsidR="00BC3559" w:rsidRDefault="00BC3559" w:rsidP="00326195">
      <w:pPr>
        <w:pStyle w:val="BodyText"/>
        <w:ind w:left="-567" w:right="-568"/>
      </w:pPr>
      <w:r>
        <w:t xml:space="preserve">For data licences, UQ </w:t>
      </w:r>
      <w:r w:rsidRPr="00A96A3F">
        <w:t xml:space="preserve">may need to </w:t>
      </w:r>
      <w:r>
        <w:t xml:space="preserve">include extracts </w:t>
      </w:r>
      <w:r w:rsidRPr="00A96A3F">
        <w:t>in publications</w:t>
      </w:r>
      <w:r>
        <w:t xml:space="preserve"> or retain and disclose data for </w:t>
      </w:r>
      <w:r w:rsidRPr="00A96A3F">
        <w:t>peer review or research verification purposes</w:t>
      </w:r>
      <w:r>
        <w:t xml:space="preserve">, including </w:t>
      </w:r>
      <w:r w:rsidRPr="00637707">
        <w:t>after the agreement ends</w:t>
      </w:r>
      <w:r>
        <w:t>.  Often simple changes are needed to cover this.</w:t>
      </w:r>
    </w:p>
    <w:p w14:paraId="61C14499" w14:textId="77777777" w:rsidR="00BC3559" w:rsidRPr="00BA6C2B" w:rsidRDefault="00BC3559" w:rsidP="00326195">
      <w:pPr>
        <w:pStyle w:val="Heading2"/>
        <w:ind w:left="-567" w:right="-568"/>
      </w:pPr>
      <w:bookmarkStart w:id="4" w:name="Liability"/>
      <w:r w:rsidRPr="00BA6C2B">
        <w:t>Liability</w:t>
      </w:r>
      <w:r>
        <w:t xml:space="preserve"> (caps, exclusions, disclaimers and indemnities)</w:t>
      </w:r>
    </w:p>
    <w:bookmarkEnd w:id="4"/>
    <w:p w14:paraId="753671C5" w14:textId="451CF2DB" w:rsidR="00BC3559" w:rsidRDefault="00BC3559" w:rsidP="00326195">
      <w:pPr>
        <w:pStyle w:val="BodyText"/>
        <w:ind w:left="-567" w:right="-568"/>
      </w:pPr>
      <w:r>
        <w:t>It is common for vendors to exclude warranties and liability and to cap their remaining liability to annual fees paid.  Vendors will often agree to a liability cap for UQ, particularly smaller vendors.  Licenses also often require UQ to indemnify vendors against various risks, including third party claims related to UQ’s use.</w:t>
      </w:r>
    </w:p>
    <w:p w14:paraId="514A041A" w14:textId="2EAE4380" w:rsidR="00BC3559" w:rsidRDefault="00BC3559" w:rsidP="00326195">
      <w:pPr>
        <w:pStyle w:val="BodyText"/>
        <w:ind w:left="-567" w:right="-568"/>
      </w:pPr>
      <w:r w:rsidRPr="001579B3">
        <w:t xml:space="preserve">You should review the </w:t>
      </w:r>
      <w:r w:rsidRPr="004C171A">
        <w:rPr>
          <w:i/>
        </w:rPr>
        <w:t>Financial and Contract Sub-delegations – Procedure</w:t>
      </w:r>
      <w:r w:rsidRPr="001579B3">
        <w:t xml:space="preserve"> (PPL 1.10.01b</w:t>
      </w:r>
      <w:r>
        <w:t xml:space="preserve">), particularly </w:t>
      </w:r>
      <w:r w:rsidRPr="00621052">
        <w:t>section 3.3.4</w:t>
      </w:r>
      <w:r>
        <w:t xml:space="preserve"> and brief the relevant ICT Contract sub-delegate on any identified risks or concerns.</w:t>
      </w:r>
    </w:p>
    <w:p w14:paraId="641640F8" w14:textId="34F213FE" w:rsidR="00BC3559" w:rsidRDefault="00BC3559" w:rsidP="00326195">
      <w:pPr>
        <w:pStyle w:val="BodyText"/>
        <w:ind w:left="-567" w:right="-568"/>
      </w:pPr>
      <w:r>
        <w:t>You can also review the ‘</w:t>
      </w:r>
      <w:r w:rsidRPr="00326924">
        <w:rPr>
          <w:i/>
        </w:rPr>
        <w:t>Liability - Indemnities</w:t>
      </w:r>
      <w:r>
        <w:t>’ Fact Sheet on the Legal Services website.</w:t>
      </w:r>
    </w:p>
    <w:p w14:paraId="44C75A30" w14:textId="77777777" w:rsidR="00BC3559" w:rsidRPr="00BA6C2B" w:rsidRDefault="00BC3559" w:rsidP="00326195">
      <w:pPr>
        <w:pStyle w:val="Heading2"/>
        <w:ind w:left="-567" w:right="-568"/>
      </w:pPr>
      <w:r w:rsidRPr="00BA6C2B">
        <w:t xml:space="preserve">Risk </w:t>
      </w:r>
      <w:r>
        <w:t>A</w:t>
      </w:r>
      <w:r w:rsidRPr="00BA6C2B">
        <w:t>ssessment</w:t>
      </w:r>
    </w:p>
    <w:p w14:paraId="2EDBB316" w14:textId="77777777" w:rsidR="00BC3559" w:rsidRPr="003E2F25" w:rsidRDefault="00BC3559" w:rsidP="00326195">
      <w:pPr>
        <w:pStyle w:val="BodyText"/>
        <w:ind w:left="-567" w:right="-568"/>
      </w:pPr>
      <w:r>
        <w:t>You should consider the risks the software and the agreement create for UQ.  For example</w:t>
      </w:r>
      <w:r w:rsidRPr="003E2F25">
        <w:t>:</w:t>
      </w:r>
    </w:p>
    <w:p w14:paraId="3D72300E" w14:textId="77777777" w:rsidR="00BC3559" w:rsidRPr="00326195" w:rsidRDefault="00BC3559" w:rsidP="00326195">
      <w:pPr>
        <w:pStyle w:val="ListBullet0"/>
      </w:pPr>
      <w:r w:rsidRPr="00326195">
        <w:t>How important is the software or data?  Who needs to use it?  What are risks around loss and unauthorised access?</w:t>
      </w:r>
    </w:p>
    <w:p w14:paraId="60AA537D" w14:textId="77777777" w:rsidR="00BC3559" w:rsidRPr="00326195" w:rsidRDefault="00BC3559" w:rsidP="00326195">
      <w:pPr>
        <w:pStyle w:val="ListBullet0"/>
      </w:pPr>
      <w:r w:rsidRPr="00326195">
        <w:t>Will sensitive UQ information be collected, stored or processed by the software, the vendor or other third parties?</w:t>
      </w:r>
    </w:p>
    <w:p w14:paraId="0151CA6A" w14:textId="77777777" w:rsidR="00BC3559" w:rsidRPr="00326195" w:rsidRDefault="00BC3559" w:rsidP="00326195">
      <w:pPr>
        <w:pStyle w:val="ListBullet0"/>
      </w:pPr>
      <w:r w:rsidRPr="00326195">
        <w:t>Does UQ need to modify the licensed material or interface with it?  Do the terms allow this?</w:t>
      </w:r>
    </w:p>
    <w:p w14:paraId="54B8C876" w14:textId="72F7F9AC" w:rsidR="00BC3559" w:rsidRPr="00326195" w:rsidRDefault="00BC3559" w:rsidP="00326195">
      <w:pPr>
        <w:pStyle w:val="ListBullet0"/>
      </w:pPr>
      <w:r w:rsidRPr="00326195">
        <w:t>Is the software or data expensive or would it be expensive if UQ paid normal commercial rates?</w:t>
      </w:r>
    </w:p>
    <w:p w14:paraId="25438BE7" w14:textId="34DC0B55" w:rsidR="00BC3559" w:rsidRPr="00687C8B" w:rsidRDefault="00BC3559" w:rsidP="00326195">
      <w:pPr>
        <w:pStyle w:val="BodyText"/>
        <w:ind w:left="-567" w:right="-568"/>
      </w:pPr>
      <w:r w:rsidRPr="00687C8B">
        <w:t xml:space="preserve">If valuable or sensitive data or </w:t>
      </w:r>
      <w:r>
        <w:t xml:space="preserve">UQ IP </w:t>
      </w:r>
      <w:r w:rsidRPr="00687C8B">
        <w:t>is involved</w:t>
      </w:r>
      <w:r>
        <w:t>,</w:t>
      </w:r>
      <w:r w:rsidRPr="00687C8B">
        <w:t xml:space="preserve"> </w:t>
      </w:r>
      <w:r>
        <w:t xml:space="preserve">you need </w:t>
      </w:r>
      <w:r w:rsidRPr="00687C8B">
        <w:t xml:space="preserve">appropriate security safeguards against </w:t>
      </w:r>
      <w:r>
        <w:t xml:space="preserve">loss or damage </w:t>
      </w:r>
      <w:r w:rsidRPr="00687C8B">
        <w:t xml:space="preserve">and to prevent unauthorised access, use </w:t>
      </w:r>
      <w:r>
        <w:t xml:space="preserve">and </w:t>
      </w:r>
      <w:r w:rsidRPr="00687C8B">
        <w:t>disclosure.</w:t>
      </w:r>
      <w:r>
        <w:t xml:space="preserve">  </w:t>
      </w:r>
    </w:p>
    <w:p w14:paraId="59F036B6" w14:textId="17CDC017" w:rsidR="00BC3559" w:rsidRDefault="00BC3559" w:rsidP="00326195">
      <w:pPr>
        <w:pStyle w:val="BodyText"/>
        <w:ind w:left="-567" w:right="-568"/>
      </w:pPr>
      <w:r>
        <w:t xml:space="preserve">If </w:t>
      </w:r>
      <w:r w:rsidRPr="003E2F25">
        <w:t xml:space="preserve">the </w:t>
      </w:r>
      <w:r>
        <w:t xml:space="preserve">licensed material is </w:t>
      </w:r>
      <w:r w:rsidRPr="003E2F25">
        <w:t>expensive</w:t>
      </w:r>
      <w:r>
        <w:t>, it increases</w:t>
      </w:r>
      <w:r w:rsidRPr="003E2F25">
        <w:t xml:space="preserve"> </w:t>
      </w:r>
      <w:r>
        <w:t>UQ’s potential liability for unauthorised access or misuse</w:t>
      </w:r>
      <w:r w:rsidRPr="003E2F25">
        <w:t>.</w:t>
      </w:r>
    </w:p>
    <w:p w14:paraId="6F6FC093" w14:textId="77777777" w:rsidR="00BC3559" w:rsidRPr="00BA6C2B" w:rsidRDefault="00BC3559" w:rsidP="00326195">
      <w:pPr>
        <w:pStyle w:val="Heading2"/>
        <w:ind w:left="-567" w:right="-568"/>
      </w:pPr>
      <w:bookmarkStart w:id="5" w:name="Party_Details"/>
      <w:r>
        <w:t>Party d</w:t>
      </w:r>
      <w:r w:rsidRPr="00BA6C2B">
        <w:t>etails</w:t>
      </w:r>
      <w:r>
        <w:t xml:space="preserve"> and due diligence</w:t>
      </w:r>
    </w:p>
    <w:bookmarkEnd w:id="5"/>
    <w:p w14:paraId="6A3A0D7C" w14:textId="5BD384F8" w:rsidR="00BC3559" w:rsidRDefault="00BC3559" w:rsidP="00326195">
      <w:pPr>
        <w:pStyle w:val="BodyText"/>
        <w:ind w:left="-567" w:right="-568"/>
      </w:pPr>
      <w:r>
        <w:t xml:space="preserve">Check </w:t>
      </w:r>
      <w:r w:rsidRPr="00B268EF">
        <w:t xml:space="preserve">the </w:t>
      </w:r>
      <w:r>
        <w:t xml:space="preserve">party details are </w:t>
      </w:r>
      <w:r w:rsidRPr="00B268EF">
        <w:t>correct</w:t>
      </w:r>
      <w:r>
        <w:t>.  UQ’s official name and ABN is “</w:t>
      </w:r>
      <w:r w:rsidRPr="000B591A">
        <w:rPr>
          <w:i/>
        </w:rPr>
        <w:t>The University of Queensland ABN 63 942 912 684</w:t>
      </w:r>
      <w:r>
        <w:t xml:space="preserve">”.  If the vendor is an Australian entity (or has an ABN or ARBN), you can search </w:t>
      </w:r>
      <w:r w:rsidRPr="00B268EF">
        <w:t>company</w:t>
      </w:r>
      <w:r>
        <w:t xml:space="preserve"> names, business names and other details at </w:t>
      </w:r>
      <w:hyperlink r:id="rId18" w:history="1">
        <w:r>
          <w:rPr>
            <w:rStyle w:val="Hyperlink"/>
          </w:rPr>
          <w:t>https://asic.gov.au</w:t>
        </w:r>
      </w:hyperlink>
      <w:r>
        <w:t xml:space="preserve"> and check ABNs at </w:t>
      </w:r>
      <w:hyperlink r:id="rId19" w:history="1">
        <w:r>
          <w:rPr>
            <w:rStyle w:val="Hyperlink"/>
          </w:rPr>
          <w:t>https://abr.business.gov.au</w:t>
        </w:r>
      </w:hyperlink>
      <w:r>
        <w:t>.</w:t>
      </w:r>
    </w:p>
    <w:p w14:paraId="175FD287" w14:textId="0297C583" w:rsidR="00BC3559" w:rsidRDefault="00BC3559" w:rsidP="00326195">
      <w:pPr>
        <w:pStyle w:val="BodyText"/>
        <w:ind w:left="-567" w:right="-568"/>
      </w:pPr>
      <w:r>
        <w:lastRenderedPageBreak/>
        <w:t xml:space="preserve">For more information on due diligence see UQ’s </w:t>
      </w:r>
      <w:r w:rsidRPr="00507826">
        <w:rPr>
          <w:i/>
        </w:rPr>
        <w:t>Procurement Policy</w:t>
      </w:r>
      <w:r w:rsidRPr="00507826">
        <w:t xml:space="preserve"> (PPL 9.40.01)</w:t>
      </w:r>
      <w:r>
        <w:t xml:space="preserve"> and the </w:t>
      </w:r>
      <w:r>
        <w:rPr>
          <w:i/>
        </w:rPr>
        <w:t>D</w:t>
      </w:r>
      <w:r w:rsidRPr="004C171A">
        <w:rPr>
          <w:i/>
        </w:rPr>
        <w:t xml:space="preserve">elegations </w:t>
      </w:r>
      <w:r>
        <w:rPr>
          <w:i/>
        </w:rPr>
        <w:t>Policy</w:t>
      </w:r>
      <w:r w:rsidRPr="00507826">
        <w:t xml:space="preserve"> (</w:t>
      </w:r>
      <w:r w:rsidRPr="001579B3">
        <w:t>PPL 1.10.01</w:t>
      </w:r>
      <w:r>
        <w:t>a</w:t>
      </w:r>
      <w:r w:rsidRPr="00507826">
        <w:t>)</w:t>
      </w:r>
      <w:r>
        <w:t xml:space="preserve">, in particular, the </w:t>
      </w:r>
      <w:r w:rsidRPr="004C171A">
        <w:rPr>
          <w:i/>
        </w:rPr>
        <w:t>Financial and Contract Sub-delegations – Procedure</w:t>
      </w:r>
      <w:r w:rsidRPr="001579B3">
        <w:t xml:space="preserve"> (PPL 1.10.01b)</w:t>
      </w:r>
      <w:r>
        <w:t>.</w:t>
      </w:r>
    </w:p>
    <w:p w14:paraId="521C32C0" w14:textId="77777777" w:rsidR="00BC3559" w:rsidRDefault="00BC3559" w:rsidP="00326195">
      <w:pPr>
        <w:pStyle w:val="BodyText"/>
        <w:ind w:left="-567" w:right="-568"/>
      </w:pPr>
      <w:r>
        <w:t>You can also review the ‘</w:t>
      </w:r>
      <w:r w:rsidRPr="00326924">
        <w:rPr>
          <w:i/>
        </w:rPr>
        <w:t>Contract Review Basics</w:t>
      </w:r>
      <w:r>
        <w:t>’ Fact Sheet on the Legal Services website.</w:t>
      </w:r>
    </w:p>
    <w:p w14:paraId="508D1E96" w14:textId="38B742FF" w:rsidR="00BC3559" w:rsidRDefault="00BC3559" w:rsidP="00326195">
      <w:pPr>
        <w:pStyle w:val="Heading2"/>
        <w:ind w:left="-567" w:right="-568"/>
      </w:pPr>
      <w:bookmarkStart w:id="6" w:name="Other_Issues"/>
      <w:r>
        <w:t>Other issues</w:t>
      </w:r>
      <w:bookmarkEnd w:id="6"/>
    </w:p>
    <w:p w14:paraId="50DB2EDE" w14:textId="77777777" w:rsidR="00BC3559" w:rsidRPr="00482065" w:rsidRDefault="00BC3559" w:rsidP="00326195">
      <w:pPr>
        <w:pStyle w:val="Heading3"/>
        <w:ind w:left="-567" w:right="-568"/>
      </w:pPr>
      <w:r>
        <w:t>Negotiations</w:t>
      </w:r>
    </w:p>
    <w:p w14:paraId="725BD157" w14:textId="3AF203DD" w:rsidR="00BC3559" w:rsidRDefault="00BC3559" w:rsidP="00326195">
      <w:pPr>
        <w:pStyle w:val="BodyText"/>
        <w:ind w:left="-567" w:right="-568"/>
      </w:pPr>
      <w:r>
        <w:t>Negotiations can take time and often there are pressing business demands.  However, vendors are often willing to negotiate changes, even to their ‘standard’ terms.  You should not avoid negotiation if important terms need fixing or important issues are not adequately covered.  Changes can often be made by simple edits.</w:t>
      </w:r>
    </w:p>
    <w:p w14:paraId="477AD83D" w14:textId="77777777" w:rsidR="00BC3559" w:rsidRPr="00482065" w:rsidRDefault="00BC3559" w:rsidP="00326195">
      <w:pPr>
        <w:pStyle w:val="Heading3"/>
        <w:ind w:left="-567" w:right="-568"/>
      </w:pPr>
      <w:r w:rsidRPr="00482065">
        <w:t>Whole of UQ</w:t>
      </w:r>
    </w:p>
    <w:p w14:paraId="2CD244E2" w14:textId="5907E0C4" w:rsidR="00BC3559" w:rsidRPr="006A6570" w:rsidRDefault="00BC3559" w:rsidP="00326195">
      <w:pPr>
        <w:pStyle w:val="BodyText"/>
        <w:ind w:left="-567" w:right="-568"/>
      </w:pPr>
      <w:r>
        <w:t>UQ is a large organisation with many organisational units.  Agreements usually apply to the whole of UQ, sometimes with unintended consequences.  You should consider potential risks and whether UQ already has arrangements with the vendor.  Signing a new agreement could affect existing arrangements.</w:t>
      </w:r>
    </w:p>
    <w:p w14:paraId="19A95CCF" w14:textId="77777777" w:rsidR="00BC3559" w:rsidRPr="006F54A7" w:rsidRDefault="00BC3559" w:rsidP="00326195">
      <w:pPr>
        <w:pStyle w:val="Heading3"/>
        <w:ind w:left="-567" w:right="-568"/>
      </w:pPr>
      <w:r w:rsidRPr="006F54A7">
        <w:t xml:space="preserve">Changes to </w:t>
      </w:r>
      <w:r>
        <w:t>terms or products and early termination</w:t>
      </w:r>
    </w:p>
    <w:p w14:paraId="4ACAAC2F" w14:textId="1EA45865" w:rsidR="00BC3559" w:rsidRDefault="00BC3559" w:rsidP="00326195">
      <w:pPr>
        <w:pStyle w:val="BodyText"/>
        <w:ind w:left="-567" w:right="-568"/>
      </w:pPr>
      <w:r>
        <w:t>Often licences permit vendors to change licence terms or product features, or terminate the licence, at any time or on notice.  Consider if these risks are acceptable and how UQ can monitor changes if UQ will not be specifically notified of a change.</w:t>
      </w:r>
    </w:p>
    <w:p w14:paraId="5C3C5659" w14:textId="77777777" w:rsidR="00BC3559" w:rsidRPr="00B9482F" w:rsidRDefault="00BC3559" w:rsidP="00326195">
      <w:pPr>
        <w:pStyle w:val="Heading3"/>
        <w:ind w:left="-567" w:right="-568"/>
      </w:pPr>
      <w:r w:rsidRPr="00B9482F">
        <w:t>Benchmarking</w:t>
      </w:r>
      <w:r>
        <w:t xml:space="preserve"> &amp; publicity prohibitions</w:t>
      </w:r>
    </w:p>
    <w:p w14:paraId="78971404" w14:textId="74E124D8" w:rsidR="00BC3559" w:rsidRDefault="00BC3559" w:rsidP="00326195">
      <w:pPr>
        <w:pStyle w:val="BodyText"/>
        <w:ind w:left="-567" w:right="-568"/>
      </w:pPr>
      <w:r>
        <w:t>Licences often include a prohibition on UQ disclosing product benchmarking results or making public statements about the vendor or its products.  You should ensure UQ’s users are aware of these kinds of prohibitions, particularly if they might be testing the products or publishing papers that may comment on product functionality or performance.  UQ could be liable for any damage to the vendor’s reputation resulting from UQ’s breach of these prohibitions.</w:t>
      </w:r>
    </w:p>
    <w:p w14:paraId="56E7C394" w14:textId="77777777" w:rsidR="00BC3559" w:rsidRPr="00482065" w:rsidRDefault="00BC3559" w:rsidP="00326195">
      <w:pPr>
        <w:pStyle w:val="Heading3"/>
        <w:ind w:left="-567" w:right="-568"/>
      </w:pPr>
      <w:r w:rsidRPr="00482065">
        <w:t xml:space="preserve">Foreign </w:t>
      </w:r>
      <w:r>
        <w:t xml:space="preserve">entities and </w:t>
      </w:r>
      <w:r w:rsidRPr="00482065">
        <w:t>law</w:t>
      </w:r>
      <w:r>
        <w:t>s</w:t>
      </w:r>
    </w:p>
    <w:p w14:paraId="01298BB4" w14:textId="5DF9D605" w:rsidR="00BC3559" w:rsidRDefault="00BC3559" w:rsidP="00326195">
      <w:pPr>
        <w:pStyle w:val="BodyText"/>
        <w:ind w:left="-567" w:right="-568"/>
      </w:pPr>
      <w:r>
        <w:t xml:space="preserve">UQ often has to deal with </w:t>
      </w:r>
      <w:r w:rsidRPr="00B471A0">
        <w:t xml:space="preserve">foreign </w:t>
      </w:r>
      <w:r>
        <w:t>vendors, creating additional risks.  Often licences will state they are governed by the laws of a foreign jurisdiction and/or that disputes must be resolved by courts or arbitration in a foreign jurisdiction.  Australian lawyers generally cannot advise on foreign laws.</w:t>
      </w:r>
    </w:p>
    <w:p w14:paraId="277668A6" w14:textId="0A55D906" w:rsidR="00BC3559" w:rsidRDefault="00BC3559" w:rsidP="00A565A1">
      <w:pPr>
        <w:pStyle w:val="BodyText"/>
        <w:ind w:left="-567" w:right="-568"/>
      </w:pPr>
      <w:r>
        <w:t xml:space="preserve">Risks include uncertainty regarding foreign laws that might apply, the high cost of making claims overseas to enforce rights or </w:t>
      </w:r>
      <w:r w:rsidRPr="00B471A0">
        <w:t xml:space="preserve">recover </w:t>
      </w:r>
      <w:r>
        <w:t>damages and the risk that UQ could be forced to defend proceedings in a foreign jurisdiction.  These are usually acceptable risks for a low risk licence, particularly if there are no local alternatives.  However, you should consider if the software or its use may expose UQ to significant risks and whether you should seek further advice.</w:t>
      </w:r>
    </w:p>
    <w:p w14:paraId="049978F8" w14:textId="77777777" w:rsidR="00BC3559" w:rsidRPr="00BA6C2B" w:rsidRDefault="00BC3559" w:rsidP="00326195">
      <w:pPr>
        <w:pStyle w:val="Heading2"/>
        <w:ind w:left="-567" w:right="-568"/>
      </w:pPr>
      <w:r>
        <w:t>UQ Policies</w:t>
      </w:r>
    </w:p>
    <w:p w14:paraId="0EC276F6" w14:textId="77777777" w:rsidR="00BC3559" w:rsidRDefault="00BC3559" w:rsidP="00326195">
      <w:pPr>
        <w:pStyle w:val="BodyText"/>
        <w:ind w:left="-567" w:right="-568"/>
      </w:pPr>
      <w:r>
        <w:t>You should consider applicable UQ policies and procedures including, for example:</w:t>
      </w:r>
    </w:p>
    <w:p w14:paraId="555A6151" w14:textId="77777777" w:rsidR="00BC3559" w:rsidRPr="00326195" w:rsidRDefault="00BC3559" w:rsidP="00326195">
      <w:pPr>
        <w:pStyle w:val="ListBullet0"/>
      </w:pPr>
      <w:r w:rsidRPr="00326195">
        <w:t>Procurement (PPL 9.40.01);</w:t>
      </w:r>
    </w:p>
    <w:p w14:paraId="07544D7D" w14:textId="77777777" w:rsidR="00BC3559" w:rsidRPr="00326195" w:rsidRDefault="00BC3559" w:rsidP="00326195">
      <w:pPr>
        <w:pStyle w:val="ListBullet0"/>
      </w:pPr>
      <w:r w:rsidRPr="00326195">
        <w:t>Delegations (PPL 1.10.01a);</w:t>
      </w:r>
    </w:p>
    <w:p w14:paraId="482D632A" w14:textId="77777777" w:rsidR="00BC3559" w:rsidRPr="00326195" w:rsidRDefault="00BC3559" w:rsidP="00326195">
      <w:pPr>
        <w:pStyle w:val="ListBullet0"/>
      </w:pPr>
      <w:r w:rsidRPr="00326195">
        <w:t>Conflict of Interest (PPL 1.50.11);</w:t>
      </w:r>
    </w:p>
    <w:p w14:paraId="1042294A" w14:textId="77777777" w:rsidR="00BC3559" w:rsidRPr="00326195" w:rsidRDefault="00BC3559" w:rsidP="00326195">
      <w:pPr>
        <w:pStyle w:val="ListBullet0"/>
      </w:pPr>
      <w:r w:rsidRPr="00326195">
        <w:t>Enterprise Risk Management (PPL 1.80.01); and</w:t>
      </w:r>
    </w:p>
    <w:p w14:paraId="5536A5FE" w14:textId="77777777" w:rsidR="00BC3559" w:rsidRPr="00326195" w:rsidRDefault="00BC3559" w:rsidP="00326195">
      <w:pPr>
        <w:pStyle w:val="ListBullet0"/>
      </w:pPr>
      <w:r w:rsidRPr="00326195">
        <w:t>UQ’s ICT policies e.g. Information and Communication Technology (PPL 6.20) or Cyber Security (PPL 6.30).</w:t>
      </w:r>
    </w:p>
    <w:p w14:paraId="506DD5A2" w14:textId="51408848" w:rsidR="00A1219F" w:rsidRPr="00A1219F" w:rsidRDefault="00A1219F" w:rsidP="00326195">
      <w:pPr>
        <w:ind w:right="-568"/>
      </w:pPr>
    </w:p>
    <w:sectPr w:rsidR="00A1219F" w:rsidRPr="00A1219F" w:rsidSect="001E165D">
      <w:headerReference w:type="default" r:id="rId20"/>
      <w:footerReference w:type="default" r:id="rId21"/>
      <w:headerReference w:type="first" r:id="rId22"/>
      <w:footerReference w:type="first" r:id="rId23"/>
      <w:pgSz w:w="11906" w:h="16838" w:code="9"/>
      <w:pgMar w:top="-891" w:right="1134" w:bottom="1134" w:left="1134"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5D0F5" w14:textId="77777777" w:rsidR="00715A9A" w:rsidRDefault="00715A9A" w:rsidP="00C20C17">
      <w:r>
        <w:separator/>
      </w:r>
    </w:p>
  </w:endnote>
  <w:endnote w:type="continuationSeparator" w:id="0">
    <w:p w14:paraId="5F2D03FB" w14:textId="77777777" w:rsidR="00715A9A" w:rsidRDefault="00715A9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1" w:type="pct"/>
      <w:tblLook w:val="0600" w:firstRow="0" w:lastRow="0" w:firstColumn="0" w:lastColumn="0" w:noHBand="1" w:noVBand="1"/>
    </w:tblPr>
    <w:tblGrid>
      <w:gridCol w:w="9078"/>
      <w:gridCol w:w="427"/>
    </w:tblGrid>
    <w:tr w:rsidR="00B042DF" w14:paraId="48601E17" w14:textId="77777777" w:rsidTr="007A70F9">
      <w:tc>
        <w:tcPr>
          <w:tcW w:w="9750" w:type="dxa"/>
          <w:vAlign w:val="bottom"/>
        </w:tcPr>
        <w:p w14:paraId="2388DE11" w14:textId="02A587D5" w:rsidR="00B042DF" w:rsidRPr="00A565A1" w:rsidRDefault="00A565A1" w:rsidP="009E12AD">
          <w:pPr>
            <w:pStyle w:val="Footer"/>
            <w:ind w:right="260"/>
            <w:rPr>
              <w:b/>
              <w:szCs w:val="15"/>
            </w:rPr>
          </w:pPr>
          <w:r>
            <w:rPr>
              <w:szCs w:val="15"/>
            </w:rPr>
            <w:t xml:space="preserve">Legal Services – </w:t>
          </w:r>
          <w:r>
            <w:rPr>
              <w:b/>
              <w:szCs w:val="15"/>
            </w:rPr>
            <w:t>UQ confidential</w:t>
          </w:r>
        </w:p>
      </w:tc>
      <w:tc>
        <w:tcPr>
          <w:tcW w:w="456" w:type="dxa"/>
          <w:vAlign w:val="bottom"/>
        </w:tcPr>
        <w:p w14:paraId="54BBEC2B" w14:textId="17757D6A"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A565A1">
            <w:rPr>
              <w:b/>
              <w:noProof/>
              <w:szCs w:val="15"/>
            </w:rPr>
            <w:t>3</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2113471429"/>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181672191"/>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1799413074"/>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57CD6" w14:textId="77777777" w:rsidR="00715A9A" w:rsidRDefault="00715A9A" w:rsidP="00C20C17">
      <w:r>
        <w:separator/>
      </w:r>
    </w:p>
  </w:footnote>
  <w:footnote w:type="continuationSeparator" w:id="0">
    <w:p w14:paraId="72E5A388" w14:textId="77777777" w:rsidR="00715A9A" w:rsidRDefault="00715A9A"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C276" w14:textId="1EDFA441" w:rsidR="007B0BBA" w:rsidRDefault="005845EC" w:rsidP="001E165D">
    <w:pPr>
      <w:pStyle w:val="Header"/>
    </w:pPr>
    <w:r>
      <w:rPr>
        <w:noProof/>
        <w:lang w:eastAsia="en-AU"/>
      </w:rPr>
      <w:drawing>
        <wp:anchor distT="0" distB="0" distL="114300" distR="114300" simplePos="0" relativeHeight="251663360" behindDoc="1" locked="0" layoutInCell="1" allowOverlap="1" wp14:anchorId="6D95601A" wp14:editId="79BA961E">
          <wp:simplePos x="0" y="0"/>
          <wp:positionH relativeFrom="column">
            <wp:posOffset>-736600</wp:posOffset>
          </wp:positionH>
          <wp:positionV relativeFrom="paragraph">
            <wp:posOffset>-362585</wp:posOffset>
          </wp:positionV>
          <wp:extent cx="7640320" cy="1092200"/>
          <wp:effectExtent l="0" t="0" r="0" b="0"/>
          <wp:wrapTight wrapText="bothSides">
            <wp:wrapPolygon edited="0">
              <wp:start x="0" y="0"/>
              <wp:lineTo x="0" y="21098"/>
              <wp:lineTo x="21543" y="21098"/>
              <wp:lineTo x="21543" y="0"/>
              <wp:lineTo x="0" y="0"/>
            </wp:wrapPolygon>
          </wp:wrapTight>
          <wp:docPr id="88" name="Picture 88"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F4305D1"/>
    <w:multiLevelType w:val="hybridMultilevel"/>
    <w:tmpl w:val="AAFAB9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6B7EB7"/>
    <w:multiLevelType w:val="hybridMultilevel"/>
    <w:tmpl w:val="0D167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A136B4"/>
    <w:multiLevelType w:val="hybridMultilevel"/>
    <w:tmpl w:val="CD48E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3CB36A99"/>
    <w:multiLevelType w:val="hybridMultilevel"/>
    <w:tmpl w:val="6E808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2032FF0"/>
    <w:multiLevelType w:val="hybridMultilevel"/>
    <w:tmpl w:val="79BA5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882352"/>
    <w:multiLevelType w:val="hybridMultilevel"/>
    <w:tmpl w:val="793C7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C90D8A"/>
    <w:multiLevelType w:val="multilevel"/>
    <w:tmpl w:val="8752BC70"/>
    <w:numStyleLink w:val="ListSectionTitle"/>
  </w:abstractNum>
  <w:abstractNum w:abstractNumId="17" w15:restartNumberingAfterBreak="0">
    <w:nsid w:val="5062016E"/>
    <w:multiLevelType w:val="hybridMultilevel"/>
    <w:tmpl w:val="EF506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AA0A7D"/>
    <w:multiLevelType w:val="multilevel"/>
    <w:tmpl w:val="E9B44B6A"/>
    <w:numStyleLink w:val="ListParagraph"/>
  </w:abstractNum>
  <w:abstractNum w:abstractNumId="19" w15:restartNumberingAfterBreak="0">
    <w:nsid w:val="53FE7795"/>
    <w:multiLevelType w:val="multilevel"/>
    <w:tmpl w:val="B5BC7C40"/>
    <w:numStyleLink w:val="ListAppendix"/>
  </w:abstractNum>
  <w:abstractNum w:abstractNumId="20" w15:restartNumberingAfterBreak="0">
    <w:nsid w:val="54F74CAD"/>
    <w:multiLevelType w:val="hybridMultilevel"/>
    <w:tmpl w:val="A644F3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4E6CE3"/>
    <w:multiLevelType w:val="hybridMultilevel"/>
    <w:tmpl w:val="0F6ADA52"/>
    <w:lvl w:ilvl="0" w:tplc="BC442C98">
      <w:start w:val="1"/>
      <w:numFmt w:val="decimal"/>
      <w:lvlText w:val="%1."/>
      <w:lvlJc w:val="left"/>
      <w:pPr>
        <w:ind w:left="360" w:hanging="360"/>
      </w:pPr>
      <w:rPr>
        <w:b/>
        <w:color w:val="51247A" w:themeColor="accen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DA00D99"/>
    <w:multiLevelType w:val="hybridMultilevel"/>
    <w:tmpl w:val="03A65714"/>
    <w:lvl w:ilvl="0" w:tplc="17B84474">
      <w:start w:val="1"/>
      <w:numFmt w:val="bullet"/>
      <w:pStyle w:val="TableBullets"/>
      <w:lvlText w:val="▪"/>
      <w:lvlJc w:val="left"/>
      <w:pPr>
        <w:ind w:left="1134" w:hanging="567"/>
      </w:pPr>
      <w:rPr>
        <w:rFonts w:ascii="Arial" w:hAnsi="Arial" w:hint="default"/>
        <w:color w:val="00AEEF"/>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4" w15:restartNumberingAfterBreak="0">
    <w:nsid w:val="7AAC78E7"/>
    <w:multiLevelType w:val="hybridMultilevel"/>
    <w:tmpl w:val="05F87E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4"/>
  </w:num>
  <w:num w:numId="3">
    <w:abstractNumId w:val="11"/>
  </w:num>
  <w:num w:numId="4">
    <w:abstractNumId w:val="3"/>
  </w:num>
  <w:num w:numId="5">
    <w:abstractNumId w:val="18"/>
  </w:num>
  <w:num w:numId="6">
    <w:abstractNumId w:val="5"/>
  </w:num>
  <w:num w:numId="7">
    <w:abstractNumId w:val="8"/>
  </w:num>
  <w:num w:numId="8">
    <w:abstractNumId w:val="9"/>
  </w:num>
  <w:num w:numId="9">
    <w:abstractNumId w:val="2"/>
  </w:num>
  <w:num w:numId="10">
    <w:abstractNumId w:val="13"/>
  </w:num>
  <w:num w:numId="11">
    <w:abstractNumId w:val="1"/>
    <w:lvlOverride w:ilvl="0">
      <w:lvl w:ilvl="0">
        <w:start w:val="1"/>
        <w:numFmt w:val="bullet"/>
        <w:pStyle w:val="ListBullet0"/>
        <w:lvlText w:val=""/>
        <w:lvlJc w:val="left"/>
        <w:pPr>
          <w:tabs>
            <w:tab w:val="num" w:pos="425"/>
          </w:tabs>
          <w:ind w:left="425" w:hanging="425"/>
        </w:pPr>
        <w:rPr>
          <w:rFonts w:ascii="Symbol" w:hAnsi="Symbol" w:hint="default"/>
        </w:rPr>
      </w:lvl>
    </w:lvlOverride>
  </w:num>
  <w:num w:numId="12">
    <w:abstractNumId w:val="0"/>
  </w:num>
  <w:num w:numId="13">
    <w:abstractNumId w:val="16"/>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9"/>
  </w:num>
  <w:num w:numId="15">
    <w:abstractNumId w:val="16"/>
  </w:num>
  <w:num w:numId="16">
    <w:abstractNumId w:val="14"/>
  </w:num>
  <w:num w:numId="17">
    <w:abstractNumId w:val="21"/>
  </w:num>
  <w:num w:numId="18">
    <w:abstractNumId w:val="10"/>
  </w:num>
  <w:num w:numId="19">
    <w:abstractNumId w:val="15"/>
  </w:num>
  <w:num w:numId="20">
    <w:abstractNumId w:val="12"/>
  </w:num>
  <w:num w:numId="21">
    <w:abstractNumId w:val="22"/>
  </w:num>
  <w:num w:numId="22">
    <w:abstractNumId w:val="6"/>
  </w:num>
  <w:num w:numId="23">
    <w:abstractNumId w:val="24"/>
  </w:num>
  <w:num w:numId="24">
    <w:abstractNumId w:val="20"/>
  </w:num>
  <w:num w:numId="25">
    <w:abstractNumId w:val="17"/>
  </w:num>
  <w:num w:numId="2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defaultTabStop w:val="720"/>
  <w:characterSpacingControl w:val="doNotCompress"/>
  <w:hdrShapeDefaults>
    <o:shapedefaults v:ext="edit" spidmax="2457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300D4"/>
    <w:rsid w:val="000A7AFE"/>
    <w:rsid w:val="000B3E75"/>
    <w:rsid w:val="0016241C"/>
    <w:rsid w:val="001741BF"/>
    <w:rsid w:val="00193459"/>
    <w:rsid w:val="00196C64"/>
    <w:rsid w:val="001B6A57"/>
    <w:rsid w:val="001E165D"/>
    <w:rsid w:val="001E544B"/>
    <w:rsid w:val="002142AC"/>
    <w:rsid w:val="00241DF1"/>
    <w:rsid w:val="00287293"/>
    <w:rsid w:val="00292EDB"/>
    <w:rsid w:val="002D73F6"/>
    <w:rsid w:val="002E0C95"/>
    <w:rsid w:val="002F612F"/>
    <w:rsid w:val="00310B79"/>
    <w:rsid w:val="00326195"/>
    <w:rsid w:val="0033054B"/>
    <w:rsid w:val="00416FF4"/>
    <w:rsid w:val="00441662"/>
    <w:rsid w:val="00445521"/>
    <w:rsid w:val="00463D08"/>
    <w:rsid w:val="004713C5"/>
    <w:rsid w:val="004972A0"/>
    <w:rsid w:val="00576D68"/>
    <w:rsid w:val="005845EC"/>
    <w:rsid w:val="005A6CC7"/>
    <w:rsid w:val="005B54F0"/>
    <w:rsid w:val="005D0167"/>
    <w:rsid w:val="005D4250"/>
    <w:rsid w:val="005E7363"/>
    <w:rsid w:val="00614669"/>
    <w:rsid w:val="006377A2"/>
    <w:rsid w:val="00670B05"/>
    <w:rsid w:val="00684298"/>
    <w:rsid w:val="006873AE"/>
    <w:rsid w:val="00691D45"/>
    <w:rsid w:val="006C0E44"/>
    <w:rsid w:val="006E71A4"/>
    <w:rsid w:val="006F4AEA"/>
    <w:rsid w:val="0071246C"/>
    <w:rsid w:val="00715A9A"/>
    <w:rsid w:val="00716942"/>
    <w:rsid w:val="00726A4F"/>
    <w:rsid w:val="007A70F9"/>
    <w:rsid w:val="007B0BBA"/>
    <w:rsid w:val="007B215D"/>
    <w:rsid w:val="007C38B8"/>
    <w:rsid w:val="007F5557"/>
    <w:rsid w:val="00834296"/>
    <w:rsid w:val="00862690"/>
    <w:rsid w:val="00882359"/>
    <w:rsid w:val="008B0D7D"/>
    <w:rsid w:val="008E2EA4"/>
    <w:rsid w:val="009212B7"/>
    <w:rsid w:val="00944DDB"/>
    <w:rsid w:val="009774DC"/>
    <w:rsid w:val="009C006F"/>
    <w:rsid w:val="009D6143"/>
    <w:rsid w:val="009D7F71"/>
    <w:rsid w:val="009E12AD"/>
    <w:rsid w:val="009E3486"/>
    <w:rsid w:val="009E3FDE"/>
    <w:rsid w:val="009E6379"/>
    <w:rsid w:val="009F3881"/>
    <w:rsid w:val="00A1219F"/>
    <w:rsid w:val="00A12421"/>
    <w:rsid w:val="00A34437"/>
    <w:rsid w:val="00A565A1"/>
    <w:rsid w:val="00A77D53"/>
    <w:rsid w:val="00A902D6"/>
    <w:rsid w:val="00AE34ED"/>
    <w:rsid w:val="00AE7D65"/>
    <w:rsid w:val="00B025B0"/>
    <w:rsid w:val="00B042DF"/>
    <w:rsid w:val="00B13955"/>
    <w:rsid w:val="00B473B6"/>
    <w:rsid w:val="00B742E4"/>
    <w:rsid w:val="00BA4749"/>
    <w:rsid w:val="00BC0E71"/>
    <w:rsid w:val="00BC3559"/>
    <w:rsid w:val="00BE0430"/>
    <w:rsid w:val="00BE112C"/>
    <w:rsid w:val="00C20C17"/>
    <w:rsid w:val="00C33B32"/>
    <w:rsid w:val="00C474B7"/>
    <w:rsid w:val="00C555F6"/>
    <w:rsid w:val="00C7208B"/>
    <w:rsid w:val="00C733AD"/>
    <w:rsid w:val="00C960ED"/>
    <w:rsid w:val="00CA4DCB"/>
    <w:rsid w:val="00CE7A06"/>
    <w:rsid w:val="00D13C7F"/>
    <w:rsid w:val="00D32971"/>
    <w:rsid w:val="00D8242B"/>
    <w:rsid w:val="00DA5594"/>
    <w:rsid w:val="00DD0AFE"/>
    <w:rsid w:val="00DD3FBD"/>
    <w:rsid w:val="00DE4BA7"/>
    <w:rsid w:val="00DF5EA7"/>
    <w:rsid w:val="00E7261C"/>
    <w:rsid w:val="00E77EBA"/>
    <w:rsid w:val="00E87A8D"/>
    <w:rsid w:val="00EE473C"/>
    <w:rsid w:val="00F37ED1"/>
    <w:rsid w:val="00F4114D"/>
    <w:rsid w:val="00F4312A"/>
    <w:rsid w:val="00F77373"/>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3212]"/>
    </o:shapedefaults>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ing">
    <w:name w:val="TableSubHeading"/>
    <w:basedOn w:val="Normal"/>
    <w:rsid w:val="006F4AEA"/>
    <w:pPr>
      <w:keepNext/>
      <w:spacing w:before="60" w:after="60"/>
    </w:pPr>
    <w:rPr>
      <w:rFonts w:ascii="Tahoma" w:eastAsia="Times New Roman" w:hAnsi="Tahoma" w:cs="Times New Roman"/>
      <w:b/>
      <w:szCs w:val="24"/>
    </w:rPr>
  </w:style>
  <w:style w:type="paragraph" w:customStyle="1" w:styleId="TableText0">
    <w:name w:val="TableText"/>
    <w:basedOn w:val="Normal"/>
    <w:rsid w:val="006F4AEA"/>
    <w:pPr>
      <w:spacing w:before="60" w:after="60"/>
    </w:pPr>
    <w:rPr>
      <w:rFonts w:ascii="Tahoma" w:eastAsia="Times New Roman" w:hAnsi="Tahoma" w:cs="Times New Roman"/>
      <w:szCs w:val="24"/>
    </w:rPr>
  </w:style>
  <w:style w:type="paragraph" w:customStyle="1" w:styleId="PrecNameCover">
    <w:name w:val="PrecNameCover"/>
    <w:basedOn w:val="Normal"/>
    <w:rsid w:val="00BC3559"/>
    <w:pPr>
      <w:spacing w:after="240" w:line="260" w:lineRule="atLeast"/>
      <w:ind w:left="57"/>
    </w:pPr>
    <w:rPr>
      <w:rFonts w:ascii="Arial" w:eastAsia="Times New Roman" w:hAnsi="Arial" w:cs="Arial"/>
      <w:color w:val="3C1B5B" w:themeColor="accent1" w:themeShade="BF"/>
      <w:sz w:val="64"/>
      <w:szCs w:val="20"/>
    </w:rPr>
  </w:style>
  <w:style w:type="paragraph" w:customStyle="1" w:styleId="TableBullets">
    <w:name w:val="Table Bullets"/>
    <w:basedOn w:val="ListParagraph0"/>
    <w:uiPriority w:val="3"/>
    <w:qFormat/>
    <w:rsid w:val="00BC3559"/>
    <w:pPr>
      <w:numPr>
        <w:numId w:val="21"/>
      </w:numPr>
      <w:spacing w:after="0" w:line="240" w:lineRule="auto"/>
      <w:ind w:left="283" w:hanging="283"/>
    </w:pPr>
    <w:rPr>
      <w:rFonts w:ascii="Arial" w:eastAsia="SimSun" w:hAnsi="Arial" w:cs="Times New Roman"/>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fluence.its.uq.edu.au/confluence/display/governance/Document+Library" TargetMode="External"/><Relationship Id="rId18" Type="http://schemas.openxmlformats.org/officeDocument/2006/relationships/hyperlink" Target="https://as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l.app.uq.edu.au/content/6.-information-and-communication-technology" TargetMode="External"/><Relationship Id="rId17" Type="http://schemas.openxmlformats.org/officeDocument/2006/relationships/hyperlink" Target="mailto:software.licences@uq.edu.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onfluence.its.uq.edu.au/confluence/display/governance/Document+Libr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uq.edu.au/information-and-services/information-technology/software/software-catalogu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ct.procurement@uq.edu.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br.busines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ftware.licences@uq.edu.au"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214366"/>
    <w:rsid w:val="007D3465"/>
    <w:rsid w:val="008A243F"/>
    <w:rsid w:val="009B7BBC"/>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9F4BA5FD84C4CA4AEAFD3FA6B0AD7" ma:contentTypeVersion="9" ma:contentTypeDescription="Create a new document." ma:contentTypeScope="" ma:versionID="9931b70d7fa0052e60b6e329044a73e3">
  <xsd:schema xmlns:xsd="http://www.w3.org/2001/XMLSchema" xmlns:xs="http://www.w3.org/2001/XMLSchema" xmlns:p="http://schemas.microsoft.com/office/2006/metadata/properties" xmlns:ns3="2ff04808-07e8-40d2-b607-c5da11d3d110" targetNamespace="http://schemas.microsoft.com/office/2006/metadata/properties" ma:root="true" ma:fieldsID="350e14589f87871cc1bab961a5d5dd70" ns3:_="">
    <xsd:import namespace="2ff04808-07e8-40d2-b607-c5da11d3d1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4808-07e8-40d2-b607-c5da11d3d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71AD7-8495-4CE4-8809-91DEF567B2D8}">
  <ds:schemaRefs>
    <ds:schemaRef ds:uri="http://schemas.openxmlformats.org/package/2006/metadata/core-properties"/>
    <ds:schemaRef ds:uri="http://schemas.microsoft.com/office/2006/documentManagement/types"/>
    <ds:schemaRef ds:uri="http://schemas.microsoft.com/office/infopath/2007/PartnerControls"/>
    <ds:schemaRef ds:uri="2ff04808-07e8-40d2-b607-c5da11d3d110"/>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7170C10-C067-4FF7-A52E-399BA19414BE}">
  <ds:schemaRefs>
    <ds:schemaRef ds:uri="http://schemas.microsoft.com/sharepoint/v3/contenttype/forms"/>
  </ds:schemaRefs>
</ds:datastoreItem>
</file>

<file path=customXml/itemProps3.xml><?xml version="1.0" encoding="utf-8"?>
<ds:datastoreItem xmlns:ds="http://schemas.openxmlformats.org/officeDocument/2006/customXml" ds:itemID="{3AE9AD20-C411-4751-A34D-FD6BCC5C7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4808-07e8-40d2-b607-c5da11d3d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0847D-71D7-45B7-8B66-52F21C97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10</TotalTime>
  <Pages>5</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Ellee McClymont</cp:lastModifiedBy>
  <cp:revision>5</cp:revision>
  <dcterms:created xsi:type="dcterms:W3CDTF">2020-04-09T01:47:00Z</dcterms:created>
  <dcterms:modified xsi:type="dcterms:W3CDTF">2020-04-09T02:03:00Z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0x010100E269F4BA5FD84C4CA4AEAFD3FA6B0AD7</vt:lpwstr>
  </property>
</Properties>
</file>